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13A5E" w:rsidRPr="00F47C2D" w14:paraId="4FD87E25" w14:textId="77777777" w:rsidTr="00F5128A">
        <w:trPr>
          <w:tblCellSpacing w:w="15" w:type="dxa"/>
        </w:trPr>
        <w:tc>
          <w:tcPr>
            <w:tcW w:w="4967" w:type="pct"/>
            <w:vAlign w:val="center"/>
            <w:hideMark/>
          </w:tcPr>
          <w:p w14:paraId="75621BFC" w14:textId="77777777" w:rsidR="00513A5E" w:rsidRPr="00F47C2D" w:rsidRDefault="00513A5E" w:rsidP="00F5128A">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F47C2D">
              <w:rPr>
                <w:rFonts w:ascii="Times New Roman" w:eastAsia="Times New Roman" w:hAnsi="Times New Roman" w:cs="Times New Roman"/>
                <w:b/>
                <w:bCs/>
                <w:color w:val="FF0000"/>
                <w:kern w:val="0"/>
                <w:sz w:val="27"/>
                <w:szCs w:val="27"/>
                <w:lang w:eastAsia="nl-BE"/>
                <w14:ligatures w14:val="none"/>
              </w:rPr>
              <w:t>Publicatie : 2023-11-20</w:t>
            </w:r>
            <w:r w:rsidRPr="00F47C2D">
              <w:rPr>
                <w:rFonts w:ascii="Times New Roman" w:eastAsia="Times New Roman" w:hAnsi="Times New Roman" w:cs="Times New Roman"/>
                <w:b/>
                <w:bCs/>
                <w:color w:val="FF0000"/>
                <w:kern w:val="0"/>
                <w:sz w:val="27"/>
                <w:szCs w:val="27"/>
                <w:lang w:eastAsia="nl-BE"/>
                <w14:ligatures w14:val="none"/>
              </w:rPr>
              <w:br/>
            </w:r>
            <w:proofErr w:type="spellStart"/>
            <w:r w:rsidRPr="00F47C2D">
              <w:rPr>
                <w:rFonts w:ascii="Times New Roman" w:eastAsia="Times New Roman" w:hAnsi="Times New Roman" w:cs="Times New Roman"/>
                <w:b/>
                <w:bCs/>
                <w:color w:val="FF0000"/>
                <w:kern w:val="0"/>
                <w:sz w:val="27"/>
                <w:szCs w:val="27"/>
                <w:lang w:eastAsia="nl-BE"/>
                <w14:ligatures w14:val="none"/>
              </w:rPr>
              <w:t>Numac</w:t>
            </w:r>
            <w:proofErr w:type="spellEnd"/>
            <w:r w:rsidRPr="00F47C2D">
              <w:rPr>
                <w:rFonts w:ascii="Times New Roman" w:eastAsia="Times New Roman" w:hAnsi="Times New Roman" w:cs="Times New Roman"/>
                <w:b/>
                <w:bCs/>
                <w:color w:val="FF0000"/>
                <w:kern w:val="0"/>
                <w:sz w:val="27"/>
                <w:szCs w:val="27"/>
                <w:lang w:eastAsia="nl-BE"/>
                <w14:ligatures w14:val="none"/>
              </w:rPr>
              <w:t xml:space="preserve"> : 2023045981</w:t>
            </w:r>
          </w:p>
        </w:tc>
      </w:tr>
    </w:tbl>
    <w:p w14:paraId="3F6C24FD" w14:textId="77777777" w:rsidR="00513A5E" w:rsidRPr="00F47C2D" w:rsidRDefault="00513A5E" w:rsidP="00513A5E">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513A5E" w:rsidRPr="00F47C2D" w14:paraId="0153F198" w14:textId="77777777" w:rsidTr="00F5128A">
        <w:trPr>
          <w:tblCellSpacing w:w="15" w:type="dxa"/>
          <w:jc w:val="center"/>
        </w:trPr>
        <w:tc>
          <w:tcPr>
            <w:tcW w:w="5000" w:type="pct"/>
            <w:vAlign w:val="center"/>
            <w:hideMark/>
          </w:tcPr>
          <w:p w14:paraId="32D3C5B1" w14:textId="77777777" w:rsidR="00513A5E" w:rsidRPr="00F47C2D" w:rsidRDefault="00513A5E" w:rsidP="00F5128A">
            <w:pPr>
              <w:spacing w:after="0" w:line="240" w:lineRule="auto"/>
              <w:jc w:val="center"/>
              <w:rPr>
                <w:rFonts w:ascii="Times New Roman" w:eastAsia="Times New Roman" w:hAnsi="Times New Roman" w:cs="Times New Roman"/>
                <w:kern w:val="0"/>
                <w:sz w:val="24"/>
                <w:szCs w:val="24"/>
                <w:lang w:eastAsia="nl-BE"/>
                <w14:ligatures w14:val="none"/>
              </w:rPr>
            </w:pPr>
            <w:r w:rsidRPr="00F47C2D">
              <w:rPr>
                <w:rFonts w:ascii="Times New Roman" w:eastAsia="Times New Roman" w:hAnsi="Times New Roman" w:cs="Times New Roman"/>
                <w:kern w:val="0"/>
                <w:sz w:val="24"/>
                <w:szCs w:val="24"/>
                <w:lang w:eastAsia="nl-BE"/>
                <w14:ligatures w14:val="none"/>
              </w:rPr>
              <w:t>FEDERALE OVERHEIDSDIENST SOCIALE ZEKERHEID</w:t>
            </w:r>
          </w:p>
        </w:tc>
      </w:tr>
    </w:tbl>
    <w:p w14:paraId="0C6802FA" w14:textId="77777777" w:rsidR="00513A5E" w:rsidRDefault="00513A5E" w:rsidP="00513A5E">
      <w:r w:rsidRPr="00F47C2D">
        <w:rPr>
          <w:rFonts w:ascii="Times New Roman" w:eastAsia="Times New Roman" w:hAnsi="Times New Roman" w:cs="Times New Roman"/>
          <w:color w:val="000000"/>
          <w:kern w:val="0"/>
          <w:sz w:val="27"/>
          <w:szCs w:val="27"/>
          <w:lang w:eastAsia="nl-BE"/>
          <w14:ligatures w14:val="none"/>
        </w:rPr>
        <w:br/>
        <w:t>Indicatoren voor het voorschrijfgedrag van de artsen houder van het artsendiploma en de huisartsen voor antibiotica</w:t>
      </w:r>
      <w:r w:rsidRPr="00F47C2D">
        <w:rPr>
          <w:rFonts w:ascii="Times New Roman" w:eastAsia="Times New Roman" w:hAnsi="Times New Roman" w:cs="Times New Roman"/>
          <w:color w:val="000000"/>
          <w:kern w:val="0"/>
          <w:sz w:val="27"/>
          <w:szCs w:val="27"/>
          <w:lang w:eastAsia="nl-BE"/>
          <w14:ligatures w14:val="none"/>
        </w:rPr>
        <w:br/>
        <w:t>Indicator gepubliceerd overeenkomstig artikel 73, § 3 van de wet betreffende de verplichte verzekering voor geneeskundige verzorging en uitkeringen, gecoördineerd op 14 juli 1994, GVU-wet.</w:t>
      </w:r>
      <w:r w:rsidRPr="00F47C2D">
        <w:rPr>
          <w:rFonts w:ascii="Times New Roman" w:eastAsia="Times New Roman" w:hAnsi="Times New Roman" w:cs="Times New Roman"/>
          <w:color w:val="000000"/>
          <w:kern w:val="0"/>
          <w:sz w:val="27"/>
          <w:szCs w:val="27"/>
          <w:lang w:eastAsia="nl-BE"/>
          <w14:ligatures w14:val="none"/>
        </w:rPr>
        <w:br/>
        <w:t xml:space="preserve">Er werd door het comité van de verzekering voor geneeskundige verzorging en de algemene raad van het RIZIV alsook door de regering geopteerd om een methode voor de integratie van de gezondheidszorgdoelstellingen in de keuzes van de ziekteverzekering te ontwikkelen, dit in combinatie met een dynamisch meerjarig budgettair kader en meer focus op </w:t>
      </w:r>
      <w:proofErr w:type="spellStart"/>
      <w:r w:rsidRPr="00F47C2D">
        <w:rPr>
          <w:rFonts w:ascii="Times New Roman" w:eastAsia="Times New Roman" w:hAnsi="Times New Roman" w:cs="Times New Roman"/>
          <w:color w:val="000000"/>
          <w:kern w:val="0"/>
          <w:sz w:val="27"/>
          <w:szCs w:val="27"/>
          <w:lang w:eastAsia="nl-BE"/>
          <w14:ligatures w14:val="none"/>
        </w:rPr>
        <w:t>appropriate</w:t>
      </w:r>
      <w:proofErr w:type="spellEnd"/>
      <w:r w:rsidRPr="00F47C2D">
        <w:rPr>
          <w:rFonts w:ascii="Times New Roman" w:eastAsia="Times New Roman" w:hAnsi="Times New Roman" w:cs="Times New Roman"/>
          <w:color w:val="000000"/>
          <w:kern w:val="0"/>
          <w:sz w:val="27"/>
          <w:szCs w:val="27"/>
          <w:lang w:eastAsia="nl-BE"/>
          <w14:ligatures w14:val="none"/>
        </w:rPr>
        <w:t xml:space="preserve"> care - de juiste zorg op de juiste plaats op het juiste moment en aan de juiste prijs.</w:t>
      </w:r>
      <w:r w:rsidRPr="00F47C2D">
        <w:rPr>
          <w:rFonts w:ascii="Times New Roman" w:eastAsia="Times New Roman" w:hAnsi="Times New Roman" w:cs="Times New Roman"/>
          <w:color w:val="000000"/>
          <w:kern w:val="0"/>
          <w:sz w:val="27"/>
          <w:szCs w:val="27"/>
          <w:lang w:eastAsia="nl-BE"/>
          <w14:ligatures w14:val="none"/>
        </w:rPr>
        <w:br/>
        <w:t xml:space="preserve">De implementatie van indicatoren blijft één van de hefbomen om hiertoe te komen, met als doel efficiëntiewinsten te genereren door het terugdringen van </w:t>
      </w:r>
      <w:proofErr w:type="spellStart"/>
      <w:r w:rsidRPr="00F47C2D">
        <w:rPr>
          <w:rFonts w:ascii="Times New Roman" w:eastAsia="Times New Roman" w:hAnsi="Times New Roman" w:cs="Times New Roman"/>
          <w:color w:val="000000"/>
          <w:kern w:val="0"/>
          <w:sz w:val="27"/>
          <w:szCs w:val="27"/>
          <w:lang w:eastAsia="nl-BE"/>
          <w14:ligatures w14:val="none"/>
        </w:rPr>
        <w:t>inappropriate</w:t>
      </w:r>
      <w:proofErr w:type="spellEnd"/>
      <w:r w:rsidRPr="00F47C2D">
        <w:rPr>
          <w:rFonts w:ascii="Times New Roman" w:eastAsia="Times New Roman" w:hAnsi="Times New Roman" w:cs="Times New Roman"/>
          <w:color w:val="000000"/>
          <w:kern w:val="0"/>
          <w:sz w:val="27"/>
          <w:szCs w:val="27"/>
          <w:lang w:eastAsia="nl-BE"/>
          <w14:ligatures w14:val="none"/>
        </w:rPr>
        <w:t xml:space="preserve"> care.</w:t>
      </w:r>
      <w:r w:rsidRPr="00F47C2D">
        <w:rPr>
          <w:rFonts w:ascii="Times New Roman" w:eastAsia="Times New Roman" w:hAnsi="Times New Roman" w:cs="Times New Roman"/>
          <w:color w:val="000000"/>
          <w:kern w:val="0"/>
          <w:sz w:val="27"/>
          <w:szCs w:val="27"/>
          <w:lang w:eastAsia="nl-BE"/>
          <w14:ligatures w14:val="none"/>
        </w:rPr>
        <w:br/>
        <w:t>De aldus vrijgekomen middelen worden terug geïnvesteerd binnen de gezondheidszorg.</w:t>
      </w:r>
      <w:r w:rsidRPr="00F47C2D">
        <w:rPr>
          <w:rFonts w:ascii="Times New Roman" w:eastAsia="Times New Roman" w:hAnsi="Times New Roman" w:cs="Times New Roman"/>
          <w:color w:val="000000"/>
          <w:kern w:val="0"/>
          <w:sz w:val="27"/>
          <w:szCs w:val="27"/>
          <w:lang w:eastAsia="nl-BE"/>
          <w14:ligatures w14:val="none"/>
        </w:rPr>
        <w:br/>
        <w:t>Indicatoren zijn niet absoluut, waarbij gemotiveerde uitzonderingen steeds mogelijk blijven. In die zin is een indicator een verantwoordingsdrempel.</w:t>
      </w:r>
      <w:r w:rsidRPr="00F47C2D">
        <w:rPr>
          <w:rFonts w:ascii="Times New Roman" w:eastAsia="Times New Roman" w:hAnsi="Times New Roman" w:cs="Times New Roman"/>
          <w:color w:val="000000"/>
          <w:kern w:val="0"/>
          <w:sz w:val="27"/>
          <w:szCs w:val="27"/>
          <w:lang w:eastAsia="nl-BE"/>
          <w14:ligatures w14:val="none"/>
        </w:rPr>
        <w:br/>
        <w:t>De indicatoren moeten peilen naar doelmatiger gebruik van de beschikbare middelen binnen de gezondheidszorg en zijn wetenschappelijk gefundeerd en rationeel.</w:t>
      </w:r>
      <w:r w:rsidRPr="00F47C2D">
        <w:rPr>
          <w:rFonts w:ascii="Times New Roman" w:eastAsia="Times New Roman" w:hAnsi="Times New Roman" w:cs="Times New Roman"/>
          <w:color w:val="000000"/>
          <w:kern w:val="0"/>
          <w:sz w:val="27"/>
          <w:szCs w:val="27"/>
          <w:lang w:eastAsia="nl-BE"/>
          <w14:ligatures w14:val="none"/>
        </w:rPr>
        <w:br/>
        <w:t>De waarde van een indicator wordt berekend op basis van wetenschappelijke reviews en data-analyses in overleg met de beroepsorganisaties en wetenschappelijke verenigingen.</w:t>
      </w:r>
      <w:r w:rsidRPr="00F47C2D">
        <w:rPr>
          <w:rFonts w:ascii="Times New Roman" w:eastAsia="Times New Roman" w:hAnsi="Times New Roman" w:cs="Times New Roman"/>
          <w:color w:val="000000"/>
          <w:kern w:val="0"/>
          <w:sz w:val="27"/>
          <w:szCs w:val="27"/>
          <w:lang w:eastAsia="nl-BE"/>
          <w14:ligatures w14:val="none"/>
        </w:rPr>
        <w:br/>
        <w:t>NOTA</w:t>
      </w:r>
      <w:r w:rsidRPr="00F47C2D">
        <w:rPr>
          <w:rFonts w:ascii="Times New Roman" w:eastAsia="Times New Roman" w:hAnsi="Times New Roman" w:cs="Times New Roman"/>
          <w:color w:val="000000"/>
          <w:kern w:val="0"/>
          <w:sz w:val="27"/>
          <w:szCs w:val="27"/>
          <w:lang w:eastAsia="nl-BE"/>
          <w14:ligatures w14:val="none"/>
        </w:rPr>
        <w:br/>
        <w:t>Het rapport van het Rekenhof "Beleid inzake het voorschrijven en afleveren van antibiotica" van december 2022 formuleert hieromtrent twintig aanbevelingen gericht aan de diverse gezondheidsadministraties.</w:t>
      </w:r>
      <w:r w:rsidRPr="00F47C2D">
        <w:rPr>
          <w:rFonts w:ascii="Times New Roman" w:eastAsia="Times New Roman" w:hAnsi="Times New Roman" w:cs="Times New Roman"/>
          <w:color w:val="000000"/>
          <w:kern w:val="0"/>
          <w:sz w:val="27"/>
          <w:szCs w:val="27"/>
          <w:lang w:eastAsia="nl-BE"/>
          <w14:ligatures w14:val="none"/>
        </w:rPr>
        <w:br/>
        <w:t>Het RIZIV wordt hierbij gevat door de aanbevelingen 6, 9, 10 en 11:</w:t>
      </w:r>
      <w:r w:rsidRPr="00F47C2D">
        <w:rPr>
          <w:rFonts w:ascii="Times New Roman" w:eastAsia="Times New Roman" w:hAnsi="Times New Roman" w:cs="Times New Roman"/>
          <w:color w:val="000000"/>
          <w:kern w:val="0"/>
          <w:sz w:val="27"/>
          <w:szCs w:val="27"/>
          <w:lang w:eastAsia="nl-BE"/>
          <w14:ligatures w14:val="none"/>
        </w:rPr>
        <w:br/>
        <w:t>- 6: voorschrijvers van antibiotica verplichten de goede praktijken toe te passen of te vermelden waarom ze ervan afwijken.</w:t>
      </w:r>
      <w:r w:rsidRPr="00F47C2D">
        <w:rPr>
          <w:rFonts w:ascii="Times New Roman" w:eastAsia="Times New Roman" w:hAnsi="Times New Roman" w:cs="Times New Roman"/>
          <w:color w:val="000000"/>
          <w:kern w:val="0"/>
          <w:sz w:val="27"/>
          <w:szCs w:val="27"/>
          <w:lang w:eastAsia="nl-BE"/>
          <w14:ligatures w14:val="none"/>
        </w:rPr>
        <w:br/>
        <w:t>- 9: acties opzetten om de goede praktijken te evalueren en te controleren, zoals de actie die de DGEC al heeft uitgevoerd, in afwachting van bruikbare indicatoren van manifeste afwijking.</w:t>
      </w:r>
      <w:r w:rsidRPr="00F47C2D">
        <w:rPr>
          <w:rFonts w:ascii="Times New Roman" w:eastAsia="Times New Roman" w:hAnsi="Times New Roman" w:cs="Times New Roman"/>
          <w:color w:val="000000"/>
          <w:kern w:val="0"/>
          <w:sz w:val="27"/>
          <w:szCs w:val="27"/>
          <w:lang w:eastAsia="nl-BE"/>
          <w14:ligatures w14:val="none"/>
        </w:rPr>
        <w:br/>
        <w:t>- 10: de wettelijk voorgeschreven indicatoren van manifeste afwijking definiëren op basis van de beschikbare gegevens.</w:t>
      </w:r>
      <w:r w:rsidRPr="00F47C2D">
        <w:rPr>
          <w:rFonts w:ascii="Times New Roman" w:eastAsia="Times New Roman" w:hAnsi="Times New Roman" w:cs="Times New Roman"/>
          <w:color w:val="000000"/>
          <w:kern w:val="0"/>
          <w:sz w:val="27"/>
          <w:szCs w:val="27"/>
          <w:lang w:eastAsia="nl-BE"/>
          <w14:ligatures w14:val="none"/>
        </w:rPr>
        <w:br/>
      </w:r>
      <w:r w:rsidRPr="00F47C2D">
        <w:rPr>
          <w:rFonts w:ascii="Times New Roman" w:eastAsia="Times New Roman" w:hAnsi="Times New Roman" w:cs="Times New Roman"/>
          <w:color w:val="000000"/>
          <w:kern w:val="0"/>
          <w:sz w:val="27"/>
          <w:szCs w:val="27"/>
          <w:lang w:eastAsia="nl-BE"/>
          <w14:ligatures w14:val="none"/>
        </w:rPr>
        <w:lastRenderedPageBreak/>
        <w:t>- 11: voorschrijvers die de goede praktijken inzake antibiotica niet volgen, controleren via indicatoren van manifeste afwijking.</w:t>
      </w:r>
      <w:r w:rsidRPr="00F47C2D">
        <w:rPr>
          <w:rFonts w:ascii="Times New Roman" w:eastAsia="Times New Roman" w:hAnsi="Times New Roman" w:cs="Times New Roman"/>
          <w:color w:val="000000"/>
          <w:kern w:val="0"/>
          <w:sz w:val="27"/>
          <w:szCs w:val="27"/>
          <w:lang w:eastAsia="nl-BE"/>
          <w14:ligatures w14:val="none"/>
        </w:rPr>
        <w:br/>
        <w:t>Om daartoe te komen, moeten er eerst indicatoren van manifeste afwijking worden gedefinieerd (= aanbeveling 10).</w:t>
      </w:r>
      <w:r w:rsidRPr="00F47C2D">
        <w:rPr>
          <w:rFonts w:ascii="Times New Roman" w:eastAsia="Times New Roman" w:hAnsi="Times New Roman" w:cs="Times New Roman"/>
          <w:color w:val="000000"/>
          <w:kern w:val="0"/>
          <w:sz w:val="27"/>
          <w:szCs w:val="27"/>
          <w:lang w:eastAsia="nl-BE"/>
          <w14:ligatures w14:val="none"/>
        </w:rPr>
        <w:br/>
        <w:t>De NRKP (Nationale raad voor kwaliteitspromotie) formuleerde reeds een aantal aanbevelingen die werden gedeeld met het huisartsenkorps in januari 2019.</w:t>
      </w:r>
      <w:r w:rsidRPr="00F47C2D">
        <w:rPr>
          <w:rFonts w:ascii="Times New Roman" w:eastAsia="Times New Roman" w:hAnsi="Times New Roman" w:cs="Times New Roman"/>
          <w:color w:val="000000"/>
          <w:kern w:val="0"/>
          <w:sz w:val="27"/>
          <w:szCs w:val="27"/>
          <w:lang w:eastAsia="nl-BE"/>
          <w14:ligatures w14:val="none"/>
        </w:rPr>
        <w:br/>
        <w:t>Die aanbevelingen worden nu grotendeels hernomen, evenwel met het invoeren van een verantwoordingsdrempel, aan de hand van een recente data-analyse en nationale en internationale richtlijnen.</w:t>
      </w:r>
      <w:r w:rsidRPr="00F47C2D">
        <w:rPr>
          <w:rFonts w:ascii="Times New Roman" w:eastAsia="Times New Roman" w:hAnsi="Times New Roman" w:cs="Times New Roman"/>
          <w:color w:val="000000"/>
          <w:kern w:val="0"/>
          <w:sz w:val="27"/>
          <w:szCs w:val="27"/>
          <w:lang w:eastAsia="nl-BE"/>
          <w14:ligatures w14:val="none"/>
        </w:rPr>
        <w:br/>
        <w:t xml:space="preserve">De bestaande richtlijnen op basis van de onderzoeksresultaten opgenomen in de `Eurobarometer' en gevalideerd door de ECDC (European Centre </w:t>
      </w:r>
      <w:proofErr w:type="spellStart"/>
      <w:r w:rsidRPr="00F47C2D">
        <w:rPr>
          <w:rFonts w:ascii="Times New Roman" w:eastAsia="Times New Roman" w:hAnsi="Times New Roman" w:cs="Times New Roman"/>
          <w:color w:val="000000"/>
          <w:kern w:val="0"/>
          <w:sz w:val="27"/>
          <w:szCs w:val="27"/>
          <w:lang w:eastAsia="nl-BE"/>
          <w14:ligatures w14:val="none"/>
        </w:rPr>
        <w:t>for</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Disease</w:t>
      </w:r>
      <w:proofErr w:type="spellEnd"/>
      <w:r w:rsidRPr="00F47C2D">
        <w:rPr>
          <w:rFonts w:ascii="Times New Roman" w:eastAsia="Times New Roman" w:hAnsi="Times New Roman" w:cs="Times New Roman"/>
          <w:color w:val="000000"/>
          <w:kern w:val="0"/>
          <w:sz w:val="27"/>
          <w:szCs w:val="27"/>
          <w:lang w:eastAsia="nl-BE"/>
          <w14:ligatures w14:val="none"/>
        </w:rPr>
        <w:t xml:space="preserve"> prevention </w:t>
      </w:r>
      <w:proofErr w:type="spellStart"/>
      <w:r w:rsidRPr="00F47C2D">
        <w:rPr>
          <w:rFonts w:ascii="Times New Roman" w:eastAsia="Times New Roman" w:hAnsi="Times New Roman" w:cs="Times New Roman"/>
          <w:color w:val="000000"/>
          <w:kern w:val="0"/>
          <w:sz w:val="27"/>
          <w:szCs w:val="27"/>
          <w:lang w:eastAsia="nl-BE"/>
          <w14:ligatures w14:val="none"/>
        </w:rPr>
        <w:t>and</w:t>
      </w:r>
      <w:proofErr w:type="spellEnd"/>
      <w:r w:rsidRPr="00F47C2D">
        <w:rPr>
          <w:rFonts w:ascii="Times New Roman" w:eastAsia="Times New Roman" w:hAnsi="Times New Roman" w:cs="Times New Roman"/>
          <w:color w:val="000000"/>
          <w:kern w:val="0"/>
          <w:sz w:val="27"/>
          <w:szCs w:val="27"/>
          <w:lang w:eastAsia="nl-BE"/>
          <w14:ligatures w14:val="none"/>
        </w:rPr>
        <w:t xml:space="preserve"> Control) en aanbevelingen door BAPCOC (Belgische Commissie voor de coördinatie van het antibioticabeleid) worden weerhouden om deze verantwoordingsdrempel te bepalen.</w:t>
      </w:r>
      <w:r w:rsidRPr="00F47C2D">
        <w:rPr>
          <w:rFonts w:ascii="Times New Roman" w:eastAsia="Times New Roman" w:hAnsi="Times New Roman" w:cs="Times New Roman"/>
          <w:color w:val="000000"/>
          <w:kern w:val="0"/>
          <w:sz w:val="27"/>
          <w:szCs w:val="27"/>
          <w:lang w:eastAsia="nl-BE"/>
          <w14:ligatures w14:val="none"/>
        </w:rPr>
        <w:br/>
        <w:t>Minstens 40% van de voorgeschreven antibiotica zijn overbodig bevonden.</w:t>
      </w:r>
      <w:r w:rsidRPr="00F47C2D">
        <w:rPr>
          <w:rFonts w:ascii="Times New Roman" w:eastAsia="Times New Roman" w:hAnsi="Times New Roman" w:cs="Times New Roman"/>
          <w:color w:val="000000"/>
          <w:kern w:val="0"/>
          <w:sz w:val="27"/>
          <w:szCs w:val="27"/>
          <w:lang w:eastAsia="nl-BE"/>
          <w14:ligatures w14:val="none"/>
        </w:rPr>
        <w:br/>
        <w:t>Er wordt één kwantitatieve indicator gedefinieerd (per leeftijdscategorie) naast twee kwalitatieve indicatoren (zonder leeftijdscategorie).</w:t>
      </w:r>
      <w:r w:rsidRPr="00F47C2D">
        <w:rPr>
          <w:rFonts w:ascii="Times New Roman" w:eastAsia="Times New Roman" w:hAnsi="Times New Roman" w:cs="Times New Roman"/>
          <w:color w:val="000000"/>
          <w:kern w:val="0"/>
          <w:sz w:val="27"/>
          <w:szCs w:val="27"/>
          <w:lang w:eastAsia="nl-BE"/>
          <w14:ligatures w14:val="none"/>
        </w:rPr>
        <w:br/>
        <w:t>Het invoeren van indicatoren is slechts één van de hefbomen om het overbodig antibioticagebruik tegen te gaan.</w:t>
      </w:r>
      <w:r w:rsidRPr="00F47C2D">
        <w:rPr>
          <w:rFonts w:ascii="Times New Roman" w:eastAsia="Times New Roman" w:hAnsi="Times New Roman" w:cs="Times New Roman"/>
          <w:color w:val="000000"/>
          <w:kern w:val="0"/>
          <w:sz w:val="27"/>
          <w:szCs w:val="27"/>
          <w:lang w:eastAsia="nl-BE"/>
          <w14:ligatures w14:val="none"/>
        </w:rPr>
        <w:br/>
        <w:t>Bijkomende flankerende maatregelen moeten worden genomen in andere werkgroepen, maar vallen buiten de missie van de NRKP.</w:t>
      </w:r>
      <w:r w:rsidRPr="00F47C2D">
        <w:rPr>
          <w:rFonts w:ascii="Times New Roman" w:eastAsia="Times New Roman" w:hAnsi="Times New Roman" w:cs="Times New Roman"/>
          <w:color w:val="000000"/>
          <w:kern w:val="0"/>
          <w:sz w:val="27"/>
          <w:szCs w:val="27"/>
          <w:lang w:eastAsia="nl-BE"/>
          <w14:ligatures w14:val="none"/>
        </w:rPr>
        <w:br/>
        <w:t>Men beoogt een drastische vermindering van overbodige antibioticavoorschriften om onder meer de antibioticaresistentie in te dijken en de nosocomiale infecties maximaal te vermijden.</w:t>
      </w:r>
      <w:r w:rsidRPr="00F47C2D">
        <w:rPr>
          <w:rFonts w:ascii="Times New Roman" w:eastAsia="Times New Roman" w:hAnsi="Times New Roman" w:cs="Times New Roman"/>
          <w:color w:val="000000"/>
          <w:kern w:val="0"/>
          <w:sz w:val="27"/>
          <w:szCs w:val="27"/>
          <w:lang w:eastAsia="nl-BE"/>
          <w14:ligatures w14:val="none"/>
        </w:rPr>
        <w:br/>
        <w:t>België kent jaarlijks een geschat aantal van 530 overlijdens te wijten aan de gevolgen van antibiotica-resistentie.</w:t>
      </w:r>
      <w:r w:rsidRPr="00F47C2D">
        <w:rPr>
          <w:rFonts w:ascii="Times New Roman" w:eastAsia="Times New Roman" w:hAnsi="Times New Roman" w:cs="Times New Roman"/>
          <w:color w:val="000000"/>
          <w:kern w:val="0"/>
          <w:sz w:val="27"/>
          <w:szCs w:val="27"/>
          <w:lang w:eastAsia="nl-BE"/>
          <w14:ligatures w14:val="none"/>
        </w:rPr>
        <w:br/>
        <w:t>INDICATOREN</w:t>
      </w:r>
      <w:r w:rsidRPr="00F47C2D">
        <w:rPr>
          <w:rFonts w:ascii="Times New Roman" w:eastAsia="Times New Roman" w:hAnsi="Times New Roman" w:cs="Times New Roman"/>
          <w:color w:val="000000"/>
          <w:kern w:val="0"/>
          <w:sz w:val="27"/>
          <w:szCs w:val="27"/>
          <w:lang w:eastAsia="nl-BE"/>
          <w14:ligatures w14:val="none"/>
        </w:rPr>
        <w:br/>
        <w:t>Overeenkomstig artikel 122ter, § 4, 3° bis van het Koninklijk besluit van 3 juli 1996 tot uitvoering van de wet betreffende de verplichte verzekering voor geneeskundige verzorging en uitkeringen, gecoördineerd op 14 juli 1994, stelt de Nationale raad voor kwaliteitspromotie de volgende indicatoren vast:</w:t>
      </w:r>
      <w:r w:rsidRPr="00F47C2D">
        <w:rPr>
          <w:rFonts w:ascii="Times New Roman" w:eastAsia="Times New Roman" w:hAnsi="Times New Roman" w:cs="Times New Roman"/>
          <w:color w:val="000000"/>
          <w:kern w:val="0"/>
          <w:sz w:val="27"/>
          <w:szCs w:val="27"/>
          <w:lang w:eastAsia="nl-BE"/>
          <w14:ligatures w14:val="none"/>
        </w:rPr>
        <w:br/>
        <w:t>Kwantitatieve indicator per leeftijdscategorie</w:t>
      </w:r>
      <w:r w:rsidRPr="00F47C2D">
        <w:rPr>
          <w:rFonts w:ascii="Times New Roman" w:eastAsia="Times New Roman" w:hAnsi="Times New Roman" w:cs="Times New Roman"/>
          <w:color w:val="000000"/>
          <w:kern w:val="0"/>
          <w:sz w:val="27"/>
          <w:szCs w:val="27"/>
          <w:lang w:eastAsia="nl-BE"/>
          <w14:ligatures w14:val="none"/>
        </w:rPr>
        <w:br/>
        <w:t>Indicator 1:</w:t>
      </w:r>
      <w:r w:rsidRPr="00F47C2D">
        <w:rPr>
          <w:rFonts w:ascii="Times New Roman" w:eastAsia="Times New Roman" w:hAnsi="Times New Roman" w:cs="Times New Roman"/>
          <w:color w:val="000000"/>
          <w:kern w:val="0"/>
          <w:sz w:val="27"/>
          <w:szCs w:val="27"/>
          <w:lang w:eastAsia="nl-BE"/>
          <w14:ligatures w14:val="none"/>
        </w:rPr>
        <w:br/>
        <w:t>pat_(≤ 15jaar)_AB/pat_(≤15jaar)_</w:t>
      </w:r>
      <w:proofErr w:type="spellStart"/>
      <w:r w:rsidRPr="00F47C2D">
        <w:rPr>
          <w:rFonts w:ascii="Times New Roman" w:eastAsia="Times New Roman" w:hAnsi="Times New Roman" w:cs="Times New Roman"/>
          <w:color w:val="000000"/>
          <w:kern w:val="0"/>
          <w:sz w:val="27"/>
          <w:szCs w:val="27"/>
          <w:lang w:eastAsia="nl-BE"/>
          <w14:ligatures w14:val="none"/>
        </w:rPr>
        <w:t>farma</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spec</w:t>
      </w:r>
      <w:proofErr w:type="spellEnd"/>
      <w:r w:rsidRPr="00F47C2D">
        <w:rPr>
          <w:rFonts w:ascii="Times New Roman" w:eastAsia="Times New Roman" w:hAnsi="Times New Roman" w:cs="Times New Roman"/>
          <w:color w:val="000000"/>
          <w:kern w:val="0"/>
          <w:sz w:val="27"/>
          <w:szCs w:val="27"/>
          <w:lang w:eastAsia="nl-BE"/>
          <w14:ligatures w14:val="none"/>
        </w:rPr>
        <w:t xml:space="preserve"> ≤ 23%</w:t>
      </w:r>
      <w:r w:rsidRPr="00F47C2D">
        <w:rPr>
          <w:rFonts w:ascii="Times New Roman" w:eastAsia="Times New Roman" w:hAnsi="Times New Roman" w:cs="Times New Roman"/>
          <w:color w:val="000000"/>
          <w:kern w:val="0"/>
          <w:sz w:val="27"/>
          <w:szCs w:val="27"/>
          <w:lang w:eastAsia="nl-BE"/>
          <w14:ligatures w14:val="none"/>
        </w:rPr>
        <w:br/>
        <w:t>pat_(≤ 14jaar)_AB/pat_(≤14jaar)_</w:t>
      </w:r>
      <w:proofErr w:type="spellStart"/>
      <w:r w:rsidRPr="00F47C2D">
        <w:rPr>
          <w:rFonts w:ascii="Times New Roman" w:eastAsia="Times New Roman" w:hAnsi="Times New Roman" w:cs="Times New Roman"/>
          <w:color w:val="000000"/>
          <w:kern w:val="0"/>
          <w:sz w:val="27"/>
          <w:szCs w:val="27"/>
          <w:lang w:eastAsia="nl-BE"/>
          <w14:ligatures w14:val="none"/>
        </w:rPr>
        <w:t>farma</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spec</w:t>
      </w:r>
      <w:proofErr w:type="spellEnd"/>
      <w:r w:rsidRPr="00F47C2D">
        <w:rPr>
          <w:rFonts w:ascii="Times New Roman" w:eastAsia="Times New Roman" w:hAnsi="Times New Roman" w:cs="Times New Roman"/>
          <w:color w:val="000000"/>
          <w:kern w:val="0"/>
          <w:sz w:val="27"/>
          <w:szCs w:val="27"/>
          <w:lang w:eastAsia="nl-BE"/>
          <w14:ligatures w14:val="none"/>
        </w:rPr>
        <w:t xml:space="preserve"> ≤ 45%</w:t>
      </w:r>
      <w:r w:rsidRPr="00F47C2D">
        <w:rPr>
          <w:rFonts w:ascii="Times New Roman" w:eastAsia="Times New Roman" w:hAnsi="Times New Roman" w:cs="Times New Roman"/>
          <w:color w:val="000000"/>
          <w:kern w:val="0"/>
          <w:sz w:val="27"/>
          <w:szCs w:val="27"/>
          <w:lang w:eastAsia="nl-BE"/>
          <w14:ligatures w14:val="none"/>
        </w:rPr>
        <w:br/>
        <w:t>waarbij:</w:t>
      </w:r>
      <w:r w:rsidRPr="00F47C2D">
        <w:rPr>
          <w:rFonts w:ascii="Times New Roman" w:eastAsia="Times New Roman" w:hAnsi="Times New Roman" w:cs="Times New Roman"/>
          <w:color w:val="000000"/>
          <w:kern w:val="0"/>
          <w:sz w:val="27"/>
          <w:szCs w:val="27"/>
          <w:lang w:eastAsia="nl-BE"/>
          <w14:ligatures w14:val="none"/>
        </w:rPr>
        <w:b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pat_AB</w:t>
      </w:r>
      <w:proofErr w:type="spellEnd"/>
      <w:r w:rsidRPr="00F47C2D">
        <w:rPr>
          <w:rFonts w:ascii="Times New Roman" w:eastAsia="Times New Roman" w:hAnsi="Times New Roman" w:cs="Times New Roman"/>
          <w:color w:val="000000"/>
          <w:kern w:val="0"/>
          <w:sz w:val="27"/>
          <w:szCs w:val="27"/>
          <w:lang w:eastAsia="nl-BE"/>
          <w14:ligatures w14:val="none"/>
        </w:rPr>
        <w:t xml:space="preserve"> = aantal patiënten met een voorschrift voor een terugbetaald antibioticum (ATC J01)</w:t>
      </w:r>
      <w:r w:rsidRPr="00F47C2D">
        <w:rPr>
          <w:rFonts w:ascii="Times New Roman" w:eastAsia="Times New Roman" w:hAnsi="Times New Roman" w:cs="Times New Roman"/>
          <w:color w:val="000000"/>
          <w:kern w:val="0"/>
          <w:sz w:val="27"/>
          <w:szCs w:val="27"/>
          <w:lang w:eastAsia="nl-BE"/>
          <w14:ligatures w14:val="none"/>
        </w:rPr>
        <w:b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pat_farma</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spec</w:t>
      </w:r>
      <w:proofErr w:type="spellEnd"/>
      <w:r w:rsidRPr="00F47C2D">
        <w:rPr>
          <w:rFonts w:ascii="Times New Roman" w:eastAsia="Times New Roman" w:hAnsi="Times New Roman" w:cs="Times New Roman"/>
          <w:color w:val="000000"/>
          <w:kern w:val="0"/>
          <w:sz w:val="27"/>
          <w:szCs w:val="27"/>
          <w:lang w:eastAsia="nl-BE"/>
          <w14:ligatures w14:val="none"/>
        </w:rPr>
        <w:t xml:space="preserve"> = aantal patiënten met een voorschrift voor een terugbetaalde farmaceutische specialiteit (geneesmiddelen met terugbetalingscategorie 0750514, 0750536, 0750551, 0750573, 0750595, 0753476, 0753491, 0758015, 0758030, </w:t>
      </w:r>
      <w:r w:rsidRPr="00F47C2D">
        <w:rPr>
          <w:rFonts w:ascii="Times New Roman" w:eastAsia="Times New Roman" w:hAnsi="Times New Roman" w:cs="Times New Roman"/>
          <w:color w:val="000000"/>
          <w:kern w:val="0"/>
          <w:sz w:val="27"/>
          <w:szCs w:val="27"/>
          <w:lang w:eastAsia="nl-BE"/>
          <w14:ligatures w14:val="none"/>
        </w:rPr>
        <w:lastRenderedPageBreak/>
        <w:t>0758052, 0758074, 0758096, 0758111, 0758133)</w:t>
      </w:r>
      <w:r w:rsidRPr="00F47C2D">
        <w:rPr>
          <w:rFonts w:ascii="Times New Roman" w:eastAsia="Times New Roman" w:hAnsi="Times New Roman" w:cs="Times New Roman"/>
          <w:color w:val="000000"/>
          <w:kern w:val="0"/>
          <w:sz w:val="27"/>
          <w:szCs w:val="27"/>
          <w:lang w:eastAsia="nl-BE"/>
          <w14:ligatures w14:val="none"/>
        </w:rPr>
        <w:br/>
        <w:t>Kwalitatieve indicatoren</w:t>
      </w:r>
      <w:r w:rsidRPr="00F47C2D">
        <w:rPr>
          <w:rFonts w:ascii="Times New Roman" w:eastAsia="Times New Roman" w:hAnsi="Times New Roman" w:cs="Times New Roman"/>
          <w:color w:val="000000"/>
          <w:kern w:val="0"/>
          <w:sz w:val="27"/>
          <w:szCs w:val="27"/>
          <w:lang w:eastAsia="nl-BE"/>
          <w14:ligatures w14:val="none"/>
        </w:rPr>
        <w:br/>
        <w:t>Indicator 2:</w:t>
      </w:r>
      <w:r w:rsidRPr="00F47C2D">
        <w:rPr>
          <w:rFonts w:ascii="Times New Roman" w:eastAsia="Times New Roman" w:hAnsi="Times New Roman" w:cs="Times New Roman"/>
          <w:color w:val="000000"/>
          <w:kern w:val="0"/>
          <w:sz w:val="27"/>
          <w:szCs w:val="27"/>
          <w:lang w:eastAsia="nl-BE"/>
          <w14:ligatures w14:val="none"/>
        </w:rPr>
        <w:br/>
        <w:t xml:space="preserve">DDD </w:t>
      </w:r>
      <w:proofErr w:type="spellStart"/>
      <w:r w:rsidRPr="00F47C2D">
        <w:rPr>
          <w:rFonts w:ascii="Times New Roman" w:eastAsia="Times New Roman" w:hAnsi="Times New Roman" w:cs="Times New Roman"/>
          <w:color w:val="000000"/>
          <w:kern w:val="0"/>
          <w:sz w:val="27"/>
          <w:szCs w:val="27"/>
          <w:lang w:eastAsia="nl-BE"/>
          <w14:ligatures w14:val="none"/>
        </w:rPr>
        <w:t>amoxi</w:t>
      </w:r>
      <w:proofErr w:type="spellEnd"/>
      <w:r w:rsidRPr="00F47C2D">
        <w:rPr>
          <w:rFonts w:ascii="Times New Roman" w:eastAsia="Times New Roman" w:hAnsi="Times New Roman" w:cs="Times New Roman"/>
          <w:color w:val="000000"/>
          <w:kern w:val="0"/>
          <w:sz w:val="27"/>
          <w:szCs w:val="27"/>
          <w:lang w:eastAsia="nl-BE"/>
          <w14:ligatures w14:val="none"/>
        </w:rPr>
        <w:t xml:space="preserve">/DDD </w:t>
      </w:r>
      <w:proofErr w:type="spellStart"/>
      <w:r w:rsidRPr="00F47C2D">
        <w:rPr>
          <w:rFonts w:ascii="Times New Roman" w:eastAsia="Times New Roman" w:hAnsi="Times New Roman" w:cs="Times New Roman"/>
          <w:color w:val="000000"/>
          <w:kern w:val="0"/>
          <w:sz w:val="27"/>
          <w:szCs w:val="27"/>
          <w:lang w:eastAsia="nl-BE"/>
          <w14:ligatures w14:val="none"/>
        </w:rPr>
        <w:t>amoxi</w:t>
      </w:r>
      <w:proofErr w:type="spellEnd"/>
      <w:r w:rsidRPr="00F47C2D">
        <w:rPr>
          <w:rFonts w:ascii="Times New Roman" w:eastAsia="Times New Roman" w:hAnsi="Times New Roman" w:cs="Times New Roman"/>
          <w:color w:val="000000"/>
          <w:kern w:val="0"/>
          <w:sz w:val="27"/>
          <w:szCs w:val="27"/>
          <w:lang w:eastAsia="nl-BE"/>
          <w14:ligatures w14:val="none"/>
        </w:rPr>
        <w:t xml:space="preserve"> + DDD </w:t>
      </w:r>
      <w:proofErr w:type="spellStart"/>
      <w:r w:rsidRPr="00F47C2D">
        <w:rPr>
          <w:rFonts w:ascii="Times New Roman" w:eastAsia="Times New Roman" w:hAnsi="Times New Roman" w:cs="Times New Roman"/>
          <w:color w:val="000000"/>
          <w:kern w:val="0"/>
          <w:sz w:val="27"/>
          <w:szCs w:val="27"/>
          <w:lang w:eastAsia="nl-BE"/>
          <w14:ligatures w14:val="none"/>
        </w:rPr>
        <w:t>amoxiclav</w:t>
      </w:r>
      <w:proofErr w:type="spellEnd"/>
      <w:r w:rsidRPr="00F47C2D">
        <w:rPr>
          <w:rFonts w:ascii="Times New Roman" w:eastAsia="Times New Roman" w:hAnsi="Times New Roman" w:cs="Times New Roman"/>
          <w:color w:val="000000"/>
          <w:kern w:val="0"/>
          <w:sz w:val="27"/>
          <w:szCs w:val="27"/>
          <w:lang w:eastAsia="nl-BE"/>
          <w14:ligatures w14:val="none"/>
        </w:rPr>
        <w:t xml:space="preserve"> ≥ 80 %</w:t>
      </w:r>
      <w:r w:rsidRPr="00F47C2D">
        <w:rPr>
          <w:rFonts w:ascii="Times New Roman" w:eastAsia="Times New Roman" w:hAnsi="Times New Roman" w:cs="Times New Roman"/>
          <w:color w:val="000000"/>
          <w:kern w:val="0"/>
          <w:sz w:val="27"/>
          <w:szCs w:val="27"/>
          <w:lang w:eastAsia="nl-BE"/>
          <w14:ligatures w14:val="none"/>
        </w:rPr>
        <w:br/>
        <w:t>waarbij:</w:t>
      </w:r>
      <w:r w:rsidRPr="00F47C2D">
        <w:rPr>
          <w:rFonts w:ascii="Times New Roman" w:eastAsia="Times New Roman" w:hAnsi="Times New Roman" w:cs="Times New Roman"/>
          <w:color w:val="000000"/>
          <w:kern w:val="0"/>
          <w:sz w:val="27"/>
          <w:szCs w:val="27"/>
          <w:lang w:eastAsia="nl-BE"/>
          <w14:ligatures w14:val="none"/>
        </w:rPr>
        <w:br/>
        <w:t xml:space="preserve">- DDD </w:t>
      </w:r>
      <w:proofErr w:type="spellStart"/>
      <w:r w:rsidRPr="00F47C2D">
        <w:rPr>
          <w:rFonts w:ascii="Times New Roman" w:eastAsia="Times New Roman" w:hAnsi="Times New Roman" w:cs="Times New Roman"/>
          <w:color w:val="000000"/>
          <w:kern w:val="0"/>
          <w:sz w:val="27"/>
          <w:szCs w:val="27"/>
          <w:lang w:eastAsia="nl-BE"/>
          <w14:ligatures w14:val="none"/>
        </w:rPr>
        <w:t>amoxi</w:t>
      </w:r>
      <w:proofErr w:type="spellEnd"/>
      <w:r w:rsidRPr="00F47C2D">
        <w:rPr>
          <w:rFonts w:ascii="Times New Roman" w:eastAsia="Times New Roman" w:hAnsi="Times New Roman" w:cs="Times New Roman"/>
          <w:color w:val="000000"/>
          <w:kern w:val="0"/>
          <w:sz w:val="27"/>
          <w:szCs w:val="27"/>
          <w:lang w:eastAsia="nl-BE"/>
          <w14:ligatures w14:val="none"/>
        </w:rPr>
        <w:t xml:space="preserve"> = aantal DDD aan voorgeschreven en terugbetaalde amoxicilline (ATC J01CA04)</w:t>
      </w:r>
      <w:r w:rsidRPr="00F47C2D">
        <w:rPr>
          <w:rFonts w:ascii="Times New Roman" w:eastAsia="Times New Roman" w:hAnsi="Times New Roman" w:cs="Times New Roman"/>
          <w:color w:val="000000"/>
          <w:kern w:val="0"/>
          <w:sz w:val="27"/>
          <w:szCs w:val="27"/>
          <w:lang w:eastAsia="nl-BE"/>
          <w14:ligatures w14:val="none"/>
        </w:rPr>
        <w:br/>
        <w:t xml:space="preserve">- DDD </w:t>
      </w:r>
      <w:proofErr w:type="spellStart"/>
      <w:r w:rsidRPr="00F47C2D">
        <w:rPr>
          <w:rFonts w:ascii="Times New Roman" w:eastAsia="Times New Roman" w:hAnsi="Times New Roman" w:cs="Times New Roman"/>
          <w:color w:val="000000"/>
          <w:kern w:val="0"/>
          <w:sz w:val="27"/>
          <w:szCs w:val="27"/>
          <w:lang w:eastAsia="nl-BE"/>
          <w14:ligatures w14:val="none"/>
        </w:rPr>
        <w:t>amoxiclav</w:t>
      </w:r>
      <w:proofErr w:type="spellEnd"/>
      <w:r w:rsidRPr="00F47C2D">
        <w:rPr>
          <w:rFonts w:ascii="Times New Roman" w:eastAsia="Times New Roman" w:hAnsi="Times New Roman" w:cs="Times New Roman"/>
          <w:color w:val="000000"/>
          <w:kern w:val="0"/>
          <w:sz w:val="27"/>
          <w:szCs w:val="27"/>
          <w:lang w:eastAsia="nl-BE"/>
          <w14:ligatures w14:val="none"/>
        </w:rPr>
        <w:t xml:space="preserve"> = aantal DDD aan voorgeschreven en terugbetaalde amoxicilline geassocieerd met clavulaanzuur (ATC J01CR02)</w:t>
      </w:r>
      <w:r w:rsidRPr="00F47C2D">
        <w:rPr>
          <w:rFonts w:ascii="Times New Roman" w:eastAsia="Times New Roman" w:hAnsi="Times New Roman" w:cs="Times New Roman"/>
          <w:color w:val="000000"/>
          <w:kern w:val="0"/>
          <w:sz w:val="27"/>
          <w:szCs w:val="27"/>
          <w:lang w:eastAsia="nl-BE"/>
          <w14:ligatures w14:val="none"/>
        </w:rPr>
        <w:br/>
        <w:t>Indicateur 3:</w:t>
      </w:r>
      <w:r w:rsidRPr="00F47C2D">
        <w:rPr>
          <w:rFonts w:ascii="Times New Roman" w:eastAsia="Times New Roman" w:hAnsi="Times New Roman" w:cs="Times New Roman"/>
          <w:color w:val="000000"/>
          <w:kern w:val="0"/>
          <w:sz w:val="27"/>
          <w:szCs w:val="27"/>
          <w:lang w:eastAsia="nl-BE"/>
          <w14:ligatures w14:val="none"/>
        </w:rPr>
        <w:br/>
        <w:t xml:space="preserve">DDD </w:t>
      </w:r>
      <w:proofErr w:type="spellStart"/>
      <w:r w:rsidRPr="00F47C2D">
        <w:rPr>
          <w:rFonts w:ascii="Times New Roman" w:eastAsia="Times New Roman" w:hAnsi="Times New Roman" w:cs="Times New Roman"/>
          <w:color w:val="000000"/>
          <w:kern w:val="0"/>
          <w:sz w:val="27"/>
          <w:szCs w:val="27"/>
          <w:lang w:eastAsia="nl-BE"/>
          <w14:ligatures w14:val="none"/>
        </w:rPr>
        <w:t>tweedelijnsAB</w:t>
      </w:r>
      <w:proofErr w:type="spellEnd"/>
      <w:r w:rsidRPr="00F47C2D">
        <w:rPr>
          <w:rFonts w:ascii="Times New Roman" w:eastAsia="Times New Roman" w:hAnsi="Times New Roman" w:cs="Times New Roman"/>
          <w:color w:val="000000"/>
          <w:kern w:val="0"/>
          <w:sz w:val="27"/>
          <w:szCs w:val="27"/>
          <w:lang w:eastAsia="nl-BE"/>
          <w14:ligatures w14:val="none"/>
        </w:rPr>
        <w:t>/DDD AB ≤ 20 %</w:t>
      </w:r>
      <w:r w:rsidRPr="00F47C2D">
        <w:rPr>
          <w:rFonts w:ascii="Times New Roman" w:eastAsia="Times New Roman" w:hAnsi="Times New Roman" w:cs="Times New Roman"/>
          <w:color w:val="000000"/>
          <w:kern w:val="0"/>
          <w:sz w:val="27"/>
          <w:szCs w:val="27"/>
          <w:lang w:eastAsia="nl-BE"/>
          <w14:ligatures w14:val="none"/>
        </w:rPr>
        <w:br/>
      </w:r>
      <w:proofErr w:type="spellStart"/>
      <w:r w:rsidRPr="00F47C2D">
        <w:rPr>
          <w:rFonts w:ascii="Times New Roman" w:eastAsia="Times New Roman" w:hAnsi="Times New Roman" w:cs="Times New Roman"/>
          <w:color w:val="000000"/>
          <w:kern w:val="0"/>
          <w:sz w:val="27"/>
          <w:szCs w:val="27"/>
          <w:lang w:eastAsia="nl-BE"/>
          <w14:ligatures w14:val="none"/>
        </w:rPr>
        <w:t>où</w:t>
      </w:r>
      <w:proofErr w:type="spellEnd"/>
      <w:r w:rsidRPr="00F47C2D">
        <w:rPr>
          <w:rFonts w:ascii="Times New Roman" w:eastAsia="Times New Roman" w:hAnsi="Times New Roman" w:cs="Times New Roman"/>
          <w:color w:val="000000"/>
          <w:kern w:val="0"/>
          <w:sz w:val="27"/>
          <w:szCs w:val="27"/>
          <w:lang w:eastAsia="nl-BE"/>
          <w14:ligatures w14:val="none"/>
        </w:rPr>
        <w:t>:</w:t>
      </w:r>
      <w:r w:rsidRPr="00F47C2D">
        <w:rPr>
          <w:rFonts w:ascii="Times New Roman" w:eastAsia="Times New Roman" w:hAnsi="Times New Roman" w:cs="Times New Roman"/>
          <w:color w:val="000000"/>
          <w:kern w:val="0"/>
          <w:sz w:val="27"/>
          <w:szCs w:val="27"/>
          <w:lang w:eastAsia="nl-BE"/>
          <w14:ligatures w14:val="none"/>
        </w:rPr>
        <w:br/>
        <w:t xml:space="preserve">- DDD AB </w:t>
      </w:r>
      <w:proofErr w:type="spellStart"/>
      <w:r w:rsidRPr="00F47C2D">
        <w:rPr>
          <w:rFonts w:ascii="Times New Roman" w:eastAsia="Times New Roman" w:hAnsi="Times New Roman" w:cs="Times New Roman"/>
          <w:color w:val="000000"/>
          <w:kern w:val="0"/>
          <w:sz w:val="27"/>
          <w:szCs w:val="27"/>
          <w:lang w:eastAsia="nl-BE"/>
          <w14:ligatures w14:val="none"/>
        </w:rPr>
        <w:t>deuxième</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ligne</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nombre</w:t>
      </w:r>
      <w:proofErr w:type="spellEnd"/>
      <w:r w:rsidRPr="00F47C2D">
        <w:rPr>
          <w:rFonts w:ascii="Times New Roman" w:eastAsia="Times New Roman" w:hAnsi="Times New Roman" w:cs="Times New Roman"/>
          <w:color w:val="000000"/>
          <w:kern w:val="0"/>
          <w:sz w:val="27"/>
          <w:szCs w:val="27"/>
          <w:lang w:eastAsia="nl-BE"/>
          <w14:ligatures w14:val="none"/>
        </w:rPr>
        <w:t xml:space="preserve"> de DDD </w:t>
      </w:r>
      <w:proofErr w:type="spellStart"/>
      <w:r w:rsidRPr="00F47C2D">
        <w:rPr>
          <w:rFonts w:ascii="Times New Roman" w:eastAsia="Times New Roman" w:hAnsi="Times New Roman" w:cs="Times New Roman"/>
          <w:color w:val="000000"/>
          <w:kern w:val="0"/>
          <w:sz w:val="27"/>
          <w:szCs w:val="27"/>
          <w:lang w:eastAsia="nl-BE"/>
          <w14:ligatures w14:val="none"/>
        </w:rPr>
        <w:t>d'antibiotiques</w:t>
      </w:r>
      <w:proofErr w:type="spellEnd"/>
      <w:r w:rsidRPr="00F47C2D">
        <w:rPr>
          <w:rFonts w:ascii="Times New Roman" w:eastAsia="Times New Roman" w:hAnsi="Times New Roman" w:cs="Times New Roman"/>
          <w:color w:val="000000"/>
          <w:kern w:val="0"/>
          <w:sz w:val="27"/>
          <w:szCs w:val="27"/>
          <w:lang w:eastAsia="nl-BE"/>
          <w14:ligatures w14:val="none"/>
        </w:rPr>
        <w:t xml:space="preserve"> de </w:t>
      </w:r>
      <w:proofErr w:type="spellStart"/>
      <w:r w:rsidRPr="00F47C2D">
        <w:rPr>
          <w:rFonts w:ascii="Times New Roman" w:eastAsia="Times New Roman" w:hAnsi="Times New Roman" w:cs="Times New Roman"/>
          <w:color w:val="000000"/>
          <w:kern w:val="0"/>
          <w:sz w:val="27"/>
          <w:szCs w:val="27"/>
          <w:lang w:eastAsia="nl-BE"/>
          <w14:ligatures w14:val="none"/>
        </w:rPr>
        <w:t>deuxième</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ligne</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prescrits</w:t>
      </w:r>
      <w:proofErr w:type="spellEnd"/>
      <w:r w:rsidRPr="00F47C2D">
        <w:rPr>
          <w:rFonts w:ascii="Times New Roman" w:eastAsia="Times New Roman" w:hAnsi="Times New Roman" w:cs="Times New Roman"/>
          <w:color w:val="000000"/>
          <w:kern w:val="0"/>
          <w:sz w:val="27"/>
          <w:szCs w:val="27"/>
          <w:lang w:eastAsia="nl-BE"/>
          <w14:ligatures w14:val="none"/>
        </w:rPr>
        <w:t xml:space="preserve"> et </w:t>
      </w:r>
      <w:proofErr w:type="spellStart"/>
      <w:r w:rsidRPr="00F47C2D">
        <w:rPr>
          <w:rFonts w:ascii="Times New Roman" w:eastAsia="Times New Roman" w:hAnsi="Times New Roman" w:cs="Times New Roman"/>
          <w:color w:val="000000"/>
          <w:kern w:val="0"/>
          <w:sz w:val="27"/>
          <w:szCs w:val="27"/>
          <w:lang w:eastAsia="nl-BE"/>
          <w14:ligatures w14:val="none"/>
        </w:rPr>
        <w:t>remboursés</w:t>
      </w:r>
      <w:proofErr w:type="spellEnd"/>
      <w:r w:rsidRPr="00F47C2D">
        <w:rPr>
          <w:rFonts w:ascii="Times New Roman" w:eastAsia="Times New Roman" w:hAnsi="Times New Roman" w:cs="Times New Roman"/>
          <w:color w:val="000000"/>
          <w:kern w:val="0"/>
          <w:sz w:val="27"/>
          <w:szCs w:val="27"/>
          <w:lang w:eastAsia="nl-BE"/>
          <w14:ligatures w14:val="none"/>
        </w:rPr>
        <w:t xml:space="preserve"> [amoxicilline associé à </w:t>
      </w:r>
      <w:proofErr w:type="spellStart"/>
      <w:r w:rsidRPr="00F47C2D">
        <w:rPr>
          <w:rFonts w:ascii="Times New Roman" w:eastAsia="Times New Roman" w:hAnsi="Times New Roman" w:cs="Times New Roman"/>
          <w:color w:val="000000"/>
          <w:kern w:val="0"/>
          <w:sz w:val="27"/>
          <w:szCs w:val="27"/>
          <w:lang w:eastAsia="nl-BE"/>
          <w14:ligatures w14:val="none"/>
        </w:rPr>
        <w:t>l'acide</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clavulanique</w:t>
      </w:r>
      <w:proofErr w:type="spellEnd"/>
      <w:r w:rsidRPr="00F47C2D">
        <w:rPr>
          <w:rFonts w:ascii="Times New Roman" w:eastAsia="Times New Roman" w:hAnsi="Times New Roman" w:cs="Times New Roman"/>
          <w:color w:val="000000"/>
          <w:kern w:val="0"/>
          <w:sz w:val="27"/>
          <w:szCs w:val="27"/>
          <w:lang w:eastAsia="nl-BE"/>
          <w14:ligatures w14:val="none"/>
        </w:rPr>
        <w:t xml:space="preserve"> (ATC J01CR02), </w:t>
      </w:r>
      <w:proofErr w:type="spellStart"/>
      <w:r w:rsidRPr="00F47C2D">
        <w:rPr>
          <w:rFonts w:ascii="Times New Roman" w:eastAsia="Times New Roman" w:hAnsi="Times New Roman" w:cs="Times New Roman"/>
          <w:color w:val="000000"/>
          <w:kern w:val="0"/>
          <w:sz w:val="27"/>
          <w:szCs w:val="27"/>
          <w:lang w:eastAsia="nl-BE"/>
          <w14:ligatures w14:val="none"/>
        </w:rPr>
        <w:t>céphalosporines</w:t>
      </w:r>
      <w:proofErr w:type="spellEnd"/>
      <w:r w:rsidRPr="00F47C2D">
        <w:rPr>
          <w:rFonts w:ascii="Times New Roman" w:eastAsia="Times New Roman" w:hAnsi="Times New Roman" w:cs="Times New Roman"/>
          <w:color w:val="000000"/>
          <w:kern w:val="0"/>
          <w:sz w:val="27"/>
          <w:szCs w:val="27"/>
          <w:lang w:eastAsia="nl-BE"/>
          <w14:ligatures w14:val="none"/>
        </w:rPr>
        <w:t xml:space="preserve"> (ATC J01D), </w:t>
      </w:r>
      <w:proofErr w:type="spellStart"/>
      <w:r w:rsidRPr="00F47C2D">
        <w:rPr>
          <w:rFonts w:ascii="Times New Roman" w:eastAsia="Times New Roman" w:hAnsi="Times New Roman" w:cs="Times New Roman"/>
          <w:color w:val="000000"/>
          <w:kern w:val="0"/>
          <w:sz w:val="27"/>
          <w:szCs w:val="27"/>
          <w:lang w:eastAsia="nl-BE"/>
          <w14:ligatures w14:val="none"/>
        </w:rPr>
        <w:t>quinolones</w:t>
      </w:r>
      <w:proofErr w:type="spellEnd"/>
      <w:r w:rsidRPr="00F47C2D">
        <w:rPr>
          <w:rFonts w:ascii="Times New Roman" w:eastAsia="Times New Roman" w:hAnsi="Times New Roman" w:cs="Times New Roman"/>
          <w:color w:val="000000"/>
          <w:kern w:val="0"/>
          <w:sz w:val="27"/>
          <w:szCs w:val="27"/>
          <w:lang w:eastAsia="nl-BE"/>
          <w14:ligatures w14:val="none"/>
        </w:rPr>
        <w:t xml:space="preserve"> (ATC J01M), </w:t>
      </w:r>
      <w:proofErr w:type="spellStart"/>
      <w:r w:rsidRPr="00F47C2D">
        <w:rPr>
          <w:rFonts w:ascii="Times New Roman" w:eastAsia="Times New Roman" w:hAnsi="Times New Roman" w:cs="Times New Roman"/>
          <w:color w:val="000000"/>
          <w:kern w:val="0"/>
          <w:sz w:val="27"/>
          <w:szCs w:val="27"/>
          <w:lang w:eastAsia="nl-BE"/>
          <w14:ligatures w14:val="none"/>
        </w:rPr>
        <w:t>macrolides</w:t>
      </w:r>
      <w:proofErr w:type="spellEnd"/>
      <w:r w:rsidRPr="00F47C2D">
        <w:rPr>
          <w:rFonts w:ascii="Times New Roman" w:eastAsia="Times New Roman" w:hAnsi="Times New Roman" w:cs="Times New Roman"/>
          <w:color w:val="000000"/>
          <w:kern w:val="0"/>
          <w:sz w:val="27"/>
          <w:szCs w:val="27"/>
          <w:lang w:eastAsia="nl-BE"/>
          <w14:ligatures w14:val="none"/>
        </w:rPr>
        <w:t xml:space="preserve"> (ATC J01FA)]</w:t>
      </w:r>
      <w:r w:rsidRPr="00F47C2D">
        <w:rPr>
          <w:rFonts w:ascii="Times New Roman" w:eastAsia="Times New Roman" w:hAnsi="Times New Roman" w:cs="Times New Roman"/>
          <w:color w:val="000000"/>
          <w:kern w:val="0"/>
          <w:sz w:val="27"/>
          <w:szCs w:val="27"/>
          <w:lang w:eastAsia="nl-BE"/>
          <w14:ligatures w14:val="none"/>
        </w:rPr>
        <w:br/>
        <w:t xml:space="preserve">- DDD AB = </w:t>
      </w:r>
      <w:proofErr w:type="spellStart"/>
      <w:r w:rsidRPr="00F47C2D">
        <w:rPr>
          <w:rFonts w:ascii="Times New Roman" w:eastAsia="Times New Roman" w:hAnsi="Times New Roman" w:cs="Times New Roman"/>
          <w:color w:val="000000"/>
          <w:kern w:val="0"/>
          <w:sz w:val="27"/>
          <w:szCs w:val="27"/>
          <w:lang w:eastAsia="nl-BE"/>
          <w14:ligatures w14:val="none"/>
        </w:rPr>
        <w:t>nombre</w:t>
      </w:r>
      <w:proofErr w:type="spellEnd"/>
      <w:r w:rsidRPr="00F47C2D">
        <w:rPr>
          <w:rFonts w:ascii="Times New Roman" w:eastAsia="Times New Roman" w:hAnsi="Times New Roman" w:cs="Times New Roman"/>
          <w:color w:val="000000"/>
          <w:kern w:val="0"/>
          <w:sz w:val="27"/>
          <w:szCs w:val="27"/>
          <w:lang w:eastAsia="nl-BE"/>
          <w14:ligatures w14:val="none"/>
        </w:rPr>
        <w:t xml:space="preserve"> de DDD </w:t>
      </w:r>
      <w:proofErr w:type="spellStart"/>
      <w:r w:rsidRPr="00F47C2D">
        <w:rPr>
          <w:rFonts w:ascii="Times New Roman" w:eastAsia="Times New Roman" w:hAnsi="Times New Roman" w:cs="Times New Roman"/>
          <w:color w:val="000000"/>
          <w:kern w:val="0"/>
          <w:sz w:val="27"/>
          <w:szCs w:val="27"/>
          <w:lang w:eastAsia="nl-BE"/>
          <w14:ligatures w14:val="none"/>
        </w:rPr>
        <w:t>d'antibiotiques</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prescrits</w:t>
      </w:r>
      <w:proofErr w:type="spellEnd"/>
      <w:r w:rsidRPr="00F47C2D">
        <w:rPr>
          <w:rFonts w:ascii="Times New Roman" w:eastAsia="Times New Roman" w:hAnsi="Times New Roman" w:cs="Times New Roman"/>
          <w:color w:val="000000"/>
          <w:kern w:val="0"/>
          <w:sz w:val="27"/>
          <w:szCs w:val="27"/>
          <w:lang w:eastAsia="nl-BE"/>
          <w14:ligatures w14:val="none"/>
        </w:rPr>
        <w:t xml:space="preserve"> et </w:t>
      </w:r>
      <w:proofErr w:type="spellStart"/>
      <w:r w:rsidRPr="00F47C2D">
        <w:rPr>
          <w:rFonts w:ascii="Times New Roman" w:eastAsia="Times New Roman" w:hAnsi="Times New Roman" w:cs="Times New Roman"/>
          <w:color w:val="000000"/>
          <w:kern w:val="0"/>
          <w:sz w:val="27"/>
          <w:szCs w:val="27"/>
          <w:lang w:eastAsia="nl-BE"/>
          <w14:ligatures w14:val="none"/>
        </w:rPr>
        <w:t>remboursés</w:t>
      </w:r>
      <w:proofErr w:type="spellEnd"/>
      <w:r w:rsidRPr="00F47C2D">
        <w:rPr>
          <w:rFonts w:ascii="Times New Roman" w:eastAsia="Times New Roman" w:hAnsi="Times New Roman" w:cs="Times New Roman"/>
          <w:color w:val="000000"/>
          <w:kern w:val="0"/>
          <w:sz w:val="27"/>
          <w:szCs w:val="27"/>
          <w:lang w:eastAsia="nl-BE"/>
          <w14:ligatures w14:val="none"/>
        </w:rPr>
        <w:t xml:space="preserve"> (ATC J01)</w:t>
      </w:r>
      <w:r w:rsidRPr="00F47C2D">
        <w:rPr>
          <w:rFonts w:ascii="Times New Roman" w:eastAsia="Times New Roman" w:hAnsi="Times New Roman" w:cs="Times New Roman"/>
          <w:color w:val="000000"/>
          <w:kern w:val="0"/>
          <w:sz w:val="27"/>
          <w:szCs w:val="27"/>
          <w:lang w:eastAsia="nl-BE"/>
          <w14:ligatures w14:val="none"/>
        </w:rPr>
        <w:br/>
      </w:r>
      <w:proofErr w:type="spellStart"/>
      <w:r w:rsidRPr="00F47C2D">
        <w:rPr>
          <w:rFonts w:ascii="Times New Roman" w:eastAsia="Times New Roman" w:hAnsi="Times New Roman" w:cs="Times New Roman"/>
          <w:color w:val="000000"/>
          <w:kern w:val="0"/>
          <w:sz w:val="27"/>
          <w:szCs w:val="27"/>
          <w:lang w:eastAsia="nl-BE"/>
          <w14:ligatures w14:val="none"/>
        </w:rPr>
        <w:t>Abréviations</w:t>
      </w:r>
      <w:proofErr w:type="spellEnd"/>
      <w:r w:rsidRPr="00F47C2D">
        <w:rPr>
          <w:rFonts w:ascii="Times New Roman" w:eastAsia="Times New Roman" w:hAnsi="Times New Roman" w:cs="Times New Roman"/>
          <w:color w:val="000000"/>
          <w:kern w:val="0"/>
          <w:sz w:val="27"/>
          <w:szCs w:val="27"/>
          <w:lang w:eastAsia="nl-BE"/>
          <w14:ligatures w14:val="none"/>
        </w:rPr>
        <w:br/>
        <w:t xml:space="preserve">DDD = </w:t>
      </w:r>
      <w:proofErr w:type="spellStart"/>
      <w:r w:rsidRPr="00F47C2D">
        <w:rPr>
          <w:rFonts w:ascii="Times New Roman" w:eastAsia="Times New Roman" w:hAnsi="Times New Roman" w:cs="Times New Roman"/>
          <w:color w:val="000000"/>
          <w:kern w:val="0"/>
          <w:sz w:val="27"/>
          <w:szCs w:val="27"/>
          <w:lang w:eastAsia="nl-BE"/>
          <w14:ligatures w14:val="none"/>
        </w:rPr>
        <w:t>defined</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daily</w:t>
      </w:r>
      <w:proofErr w:type="spellEnd"/>
      <w:r w:rsidRPr="00F47C2D">
        <w:rPr>
          <w:rFonts w:ascii="Times New Roman" w:eastAsia="Times New Roman" w:hAnsi="Times New Roman" w:cs="Times New Roman"/>
          <w:color w:val="000000"/>
          <w:kern w:val="0"/>
          <w:sz w:val="27"/>
          <w:szCs w:val="27"/>
          <w:lang w:eastAsia="nl-BE"/>
          <w14:ligatures w14:val="none"/>
        </w:rPr>
        <w:t xml:space="preserve"> doses</w:t>
      </w:r>
      <w:r w:rsidRPr="00F47C2D">
        <w:rPr>
          <w:rFonts w:ascii="Times New Roman" w:eastAsia="Times New Roman" w:hAnsi="Times New Roman" w:cs="Times New Roman"/>
          <w:color w:val="000000"/>
          <w:kern w:val="0"/>
          <w:sz w:val="27"/>
          <w:szCs w:val="27"/>
          <w:lang w:eastAsia="nl-BE"/>
          <w14:ligatures w14:val="none"/>
        </w:rPr>
        <w:br/>
        <w:t xml:space="preserve">ATC = </w:t>
      </w:r>
      <w:proofErr w:type="spellStart"/>
      <w:r w:rsidRPr="00F47C2D">
        <w:rPr>
          <w:rFonts w:ascii="Times New Roman" w:eastAsia="Times New Roman" w:hAnsi="Times New Roman" w:cs="Times New Roman"/>
          <w:color w:val="000000"/>
          <w:kern w:val="0"/>
          <w:sz w:val="27"/>
          <w:szCs w:val="27"/>
          <w:lang w:eastAsia="nl-BE"/>
          <w14:ligatures w14:val="none"/>
        </w:rPr>
        <w:t>anatomical</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therapeutic</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chemical</w:t>
      </w:r>
      <w:proofErr w:type="spellEnd"/>
      <w:r w:rsidRPr="00F47C2D">
        <w:rPr>
          <w:rFonts w:ascii="Times New Roman" w:eastAsia="Times New Roman" w:hAnsi="Times New Roman" w:cs="Times New Roman"/>
          <w:color w:val="000000"/>
          <w:kern w:val="0"/>
          <w:sz w:val="27"/>
          <w:szCs w:val="27"/>
          <w:lang w:eastAsia="nl-BE"/>
          <w14:ligatures w14:val="none"/>
        </w:rPr>
        <w:t xml:space="preserve"> (</w:t>
      </w:r>
      <w:proofErr w:type="spellStart"/>
      <w:r w:rsidRPr="00F47C2D">
        <w:rPr>
          <w:rFonts w:ascii="Times New Roman" w:eastAsia="Times New Roman" w:hAnsi="Times New Roman" w:cs="Times New Roman"/>
          <w:color w:val="000000"/>
          <w:kern w:val="0"/>
          <w:sz w:val="27"/>
          <w:szCs w:val="27"/>
          <w:lang w:eastAsia="nl-BE"/>
          <w14:ligatures w14:val="none"/>
        </w:rPr>
        <w:t>classification</w:t>
      </w:r>
      <w:proofErr w:type="spellEnd"/>
      <w:r w:rsidRPr="00F47C2D">
        <w:rPr>
          <w:rFonts w:ascii="Times New Roman" w:eastAsia="Times New Roman" w:hAnsi="Times New Roman" w:cs="Times New Roman"/>
          <w:color w:val="000000"/>
          <w:kern w:val="0"/>
          <w:sz w:val="27"/>
          <w:szCs w:val="27"/>
          <w:lang w:eastAsia="nl-BE"/>
          <w14:ligatures w14:val="none"/>
        </w:rPr>
        <w:br/>
        <w:t xml:space="preserve">De waarde van elke indicator wordt berekend per kalenderjaar met de gegevens over de voorschrijver die beschikbaar zijn in de </w:t>
      </w:r>
      <w:proofErr w:type="spellStart"/>
      <w:r w:rsidRPr="00F47C2D">
        <w:rPr>
          <w:rFonts w:ascii="Times New Roman" w:eastAsia="Times New Roman" w:hAnsi="Times New Roman" w:cs="Times New Roman"/>
          <w:color w:val="000000"/>
          <w:kern w:val="0"/>
          <w:sz w:val="27"/>
          <w:szCs w:val="27"/>
          <w:lang w:eastAsia="nl-BE"/>
          <w14:ligatures w14:val="none"/>
        </w:rPr>
        <w:t>Farmanet</w:t>
      </w:r>
      <w:proofErr w:type="spellEnd"/>
      <w:r w:rsidRPr="00F47C2D">
        <w:rPr>
          <w:rFonts w:ascii="Times New Roman" w:eastAsia="Times New Roman" w:hAnsi="Times New Roman" w:cs="Times New Roman"/>
          <w:color w:val="000000"/>
          <w:kern w:val="0"/>
          <w:sz w:val="27"/>
          <w:szCs w:val="27"/>
          <w:lang w:eastAsia="nl-BE"/>
          <w14:ligatures w14:val="none"/>
        </w:rPr>
        <w:t>-databank (artikel 165 GVU-wet, enkel en alleen de farmaceutische specialiteiten).</w:t>
      </w:r>
      <w:r w:rsidRPr="00F47C2D">
        <w:rPr>
          <w:rFonts w:ascii="Times New Roman" w:eastAsia="Times New Roman" w:hAnsi="Times New Roman" w:cs="Times New Roman"/>
          <w:color w:val="000000"/>
          <w:kern w:val="0"/>
          <w:sz w:val="27"/>
          <w:szCs w:val="27"/>
          <w:lang w:eastAsia="nl-BE"/>
          <w14:ligatures w14:val="none"/>
        </w:rPr>
        <w:br/>
        <w:t xml:space="preserve">Dit houdt onder meer in dat er geen informatie beschikbaar is met betrekking tot de indicatie voor het voorschrift of over de eventuele </w:t>
      </w:r>
      <w:proofErr w:type="spellStart"/>
      <w:r w:rsidRPr="00F47C2D">
        <w:rPr>
          <w:rFonts w:ascii="Times New Roman" w:eastAsia="Times New Roman" w:hAnsi="Times New Roman" w:cs="Times New Roman"/>
          <w:color w:val="000000"/>
          <w:kern w:val="0"/>
          <w:sz w:val="27"/>
          <w:szCs w:val="27"/>
          <w:lang w:eastAsia="nl-BE"/>
          <w14:ligatures w14:val="none"/>
        </w:rPr>
        <w:t>comorbiditeit</w:t>
      </w:r>
      <w:proofErr w:type="spellEnd"/>
      <w:r w:rsidRPr="00F47C2D">
        <w:rPr>
          <w:rFonts w:ascii="Times New Roman" w:eastAsia="Times New Roman" w:hAnsi="Times New Roman" w:cs="Times New Roman"/>
          <w:color w:val="000000"/>
          <w:kern w:val="0"/>
          <w:sz w:val="27"/>
          <w:szCs w:val="27"/>
          <w:lang w:eastAsia="nl-BE"/>
          <w14:ligatures w14:val="none"/>
        </w:rPr>
        <w:t xml:space="preserve"> die aanwezig is bij de patiënt.</w:t>
      </w:r>
      <w:r w:rsidRPr="00F47C2D">
        <w:rPr>
          <w:rFonts w:ascii="Times New Roman" w:eastAsia="Times New Roman" w:hAnsi="Times New Roman" w:cs="Times New Roman"/>
          <w:color w:val="000000"/>
          <w:kern w:val="0"/>
          <w:sz w:val="27"/>
          <w:szCs w:val="27"/>
          <w:lang w:eastAsia="nl-BE"/>
          <w14:ligatures w14:val="none"/>
        </w:rPr>
        <w:br/>
      </w:r>
      <w:proofErr w:type="spellStart"/>
      <w:r w:rsidRPr="00F47C2D">
        <w:rPr>
          <w:rFonts w:ascii="Times New Roman" w:eastAsia="Times New Roman" w:hAnsi="Times New Roman" w:cs="Times New Roman"/>
          <w:color w:val="000000"/>
          <w:kern w:val="0"/>
          <w:sz w:val="27"/>
          <w:szCs w:val="27"/>
          <w:lang w:eastAsia="nl-BE"/>
          <w14:ligatures w14:val="none"/>
        </w:rPr>
        <w:t>Farmanet</w:t>
      </w:r>
      <w:proofErr w:type="spellEnd"/>
      <w:r w:rsidRPr="00F47C2D">
        <w:rPr>
          <w:rFonts w:ascii="Times New Roman" w:eastAsia="Times New Roman" w:hAnsi="Times New Roman" w:cs="Times New Roman"/>
          <w:color w:val="000000"/>
          <w:kern w:val="0"/>
          <w:sz w:val="27"/>
          <w:szCs w:val="27"/>
          <w:lang w:eastAsia="nl-BE"/>
          <w14:ligatures w14:val="none"/>
        </w:rPr>
        <w:t xml:space="preserve"> dekt de afleveringen in de open </w:t>
      </w:r>
      <w:proofErr w:type="spellStart"/>
      <w:r w:rsidRPr="00F47C2D">
        <w:rPr>
          <w:rFonts w:ascii="Times New Roman" w:eastAsia="Times New Roman" w:hAnsi="Times New Roman" w:cs="Times New Roman"/>
          <w:color w:val="000000"/>
          <w:kern w:val="0"/>
          <w:sz w:val="27"/>
          <w:szCs w:val="27"/>
          <w:lang w:eastAsia="nl-BE"/>
          <w14:ligatures w14:val="none"/>
        </w:rPr>
        <w:t>officina's</w:t>
      </w:r>
      <w:proofErr w:type="spellEnd"/>
      <w:r w:rsidRPr="00F47C2D">
        <w:rPr>
          <w:rFonts w:ascii="Times New Roman" w:eastAsia="Times New Roman" w:hAnsi="Times New Roman" w:cs="Times New Roman"/>
          <w:color w:val="000000"/>
          <w:kern w:val="0"/>
          <w:sz w:val="27"/>
          <w:szCs w:val="27"/>
          <w:lang w:eastAsia="nl-BE"/>
          <w14:ligatures w14:val="none"/>
        </w:rPr>
        <w:t>, die door het RIZIV zijn terugbetaald.</w:t>
      </w:r>
      <w:r w:rsidRPr="00F47C2D">
        <w:rPr>
          <w:rFonts w:ascii="Times New Roman" w:eastAsia="Times New Roman" w:hAnsi="Times New Roman" w:cs="Times New Roman"/>
          <w:color w:val="000000"/>
          <w:kern w:val="0"/>
          <w:sz w:val="27"/>
          <w:szCs w:val="27"/>
          <w:lang w:eastAsia="nl-BE"/>
          <w14:ligatures w14:val="none"/>
        </w:rPr>
        <w:br/>
        <w:t xml:space="preserve">Zijn dus niet inbegrepen: de geneesmiddelen die in het ziekenhuis worden afgeleverd en de geneesmiddelen die worden afgeleverd door een open </w:t>
      </w:r>
      <w:proofErr w:type="spellStart"/>
      <w:r w:rsidRPr="00F47C2D">
        <w:rPr>
          <w:rFonts w:ascii="Times New Roman" w:eastAsia="Times New Roman" w:hAnsi="Times New Roman" w:cs="Times New Roman"/>
          <w:color w:val="000000"/>
          <w:kern w:val="0"/>
          <w:sz w:val="27"/>
          <w:szCs w:val="27"/>
          <w:lang w:eastAsia="nl-BE"/>
          <w14:ligatures w14:val="none"/>
        </w:rPr>
        <w:t>officina</w:t>
      </w:r>
      <w:proofErr w:type="spellEnd"/>
      <w:r w:rsidRPr="00F47C2D">
        <w:rPr>
          <w:rFonts w:ascii="Times New Roman" w:eastAsia="Times New Roman" w:hAnsi="Times New Roman" w:cs="Times New Roman"/>
          <w:color w:val="000000"/>
          <w:kern w:val="0"/>
          <w:sz w:val="27"/>
          <w:szCs w:val="27"/>
          <w:lang w:eastAsia="nl-BE"/>
          <w14:ligatures w14:val="none"/>
        </w:rPr>
        <w:t xml:space="preserve"> zonder tegemoetkoming van het RIZIV.</w:t>
      </w:r>
      <w:r w:rsidRPr="00F47C2D">
        <w:rPr>
          <w:rFonts w:ascii="Times New Roman" w:eastAsia="Times New Roman" w:hAnsi="Times New Roman" w:cs="Times New Roman"/>
          <w:color w:val="000000"/>
          <w:kern w:val="0"/>
          <w:sz w:val="27"/>
          <w:szCs w:val="27"/>
          <w:lang w:eastAsia="nl-BE"/>
          <w14:ligatures w14:val="none"/>
        </w:rPr>
        <w:br/>
        <w:t>De indicatoren zijn van toepassing op de artsen-voorschrijvers met de bevoegdheidscodes 000, 001, 002, 003, 004, 005, 006, 008 en 009 vanaf de datum van publicatie in het Belgisch Staatsblad.</w:t>
      </w:r>
    </w:p>
    <w:p w14:paraId="5CA259F4" w14:textId="77777777" w:rsidR="00CB730B" w:rsidRDefault="00CB730B"/>
    <w:sectPr w:rsidR="00CB7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5E"/>
    <w:rsid w:val="00513A5E"/>
    <w:rsid w:val="00CB730B"/>
    <w:rsid w:val="00CF5E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FF02"/>
  <w15:chartTrackingRefBased/>
  <w15:docId w15:val="{05A4046A-77A1-4942-AE85-AEE6B8D9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3A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5435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2023-11-22T09:23:00Z</dcterms:created>
  <dcterms:modified xsi:type="dcterms:W3CDTF">2023-11-22T09:23:00Z</dcterms:modified>
</cp:coreProperties>
</file>