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64928" w14:textId="17A14514" w:rsidR="00E56A7E" w:rsidRDefault="00002BF0">
      <w:r>
        <w:tab/>
      </w:r>
      <w:r>
        <w:tab/>
      </w:r>
      <w:r>
        <w:tab/>
      </w:r>
      <w:r>
        <w:tab/>
      </w:r>
      <w:r>
        <w:tab/>
      </w:r>
      <w:bookmarkStart w:id="0" w:name="_GoBack"/>
      <w:bookmarkEnd w:id="0"/>
      <w:r>
        <w:t>Europese rechtspraak inzake btw</w:t>
      </w:r>
    </w:p>
    <w:p w14:paraId="20A76F3F" w14:textId="52637590" w:rsidR="00002BF0" w:rsidRDefault="00002BF0"/>
    <w:p w14:paraId="7DD60084" w14:textId="77777777" w:rsidR="00002BF0" w:rsidRPr="008341D1" w:rsidRDefault="00002BF0" w:rsidP="00002BF0">
      <w:pPr>
        <w:pStyle w:val="NoSpacing"/>
        <w:rPr>
          <w:rFonts w:ascii="Arial" w:hAnsi="Arial" w:cs="Arial"/>
          <w:szCs w:val="22"/>
          <w:lang w:val="nl-BE"/>
        </w:rPr>
      </w:pPr>
      <w:r w:rsidRPr="008341D1">
        <w:rPr>
          <w:rFonts w:ascii="Arial" w:hAnsi="Arial" w:cs="Arial"/>
          <w:szCs w:val="22"/>
          <w:lang w:val="nl-BE"/>
        </w:rPr>
        <w:t xml:space="preserve">Het Hof van Justitie heeft geoordeeld dat onder andere de volgende diensten </w:t>
      </w:r>
      <w:r w:rsidRPr="008341D1">
        <w:rPr>
          <w:rFonts w:ascii="Arial" w:hAnsi="Arial" w:cs="Arial"/>
          <w:b/>
          <w:szCs w:val="22"/>
          <w:lang w:val="nl-BE"/>
        </w:rPr>
        <w:t>geen therapeutisch</w:t>
      </w:r>
      <w:r w:rsidRPr="008341D1">
        <w:rPr>
          <w:rFonts w:ascii="Arial" w:hAnsi="Arial" w:cs="Arial"/>
          <w:szCs w:val="22"/>
          <w:lang w:val="nl-BE"/>
        </w:rPr>
        <w:t xml:space="preserve"> doel hebben en derhalve niet onder de vrijstelling vallen: </w:t>
      </w:r>
    </w:p>
    <w:p w14:paraId="15DEB38E" w14:textId="77777777" w:rsidR="00002BF0" w:rsidRPr="008341D1" w:rsidRDefault="00002BF0" w:rsidP="00002BF0">
      <w:pPr>
        <w:pStyle w:val="NoSpacing"/>
        <w:rPr>
          <w:rFonts w:ascii="Arial" w:hAnsi="Arial" w:cs="Arial"/>
          <w:szCs w:val="22"/>
          <w:lang w:val="nl-BE"/>
        </w:rPr>
      </w:pPr>
    </w:p>
    <w:p w14:paraId="1B9AFBC5" w14:textId="77777777" w:rsidR="00002BF0" w:rsidRPr="008341D1" w:rsidRDefault="00002BF0" w:rsidP="00002BF0">
      <w:pPr>
        <w:pStyle w:val="NoSpacing"/>
        <w:numPr>
          <w:ilvl w:val="0"/>
          <w:numId w:val="2"/>
        </w:numPr>
        <w:rPr>
          <w:rFonts w:ascii="Arial" w:hAnsi="Arial" w:cs="Arial"/>
          <w:lang w:val="nl-BE"/>
        </w:rPr>
      </w:pPr>
      <w:r>
        <w:rPr>
          <w:rFonts w:ascii="Arial" w:hAnsi="Arial" w:cs="Arial"/>
          <w:lang w:val="nl-BE"/>
        </w:rPr>
        <w:t>h</w:t>
      </w:r>
      <w:r w:rsidRPr="006D6B62">
        <w:rPr>
          <w:rFonts w:ascii="Arial" w:hAnsi="Arial" w:cs="Arial"/>
          <w:lang w:val="nl-BE"/>
        </w:rPr>
        <w:t xml:space="preserve">et </w:t>
      </w:r>
      <w:r w:rsidRPr="006D6B62">
        <w:rPr>
          <w:rFonts w:ascii="Arial" w:hAnsi="Arial" w:cs="Arial"/>
          <w:u w:val="single"/>
          <w:lang w:val="nl-BE"/>
        </w:rPr>
        <w:t>vaststellen van een genetische verwantschap</w:t>
      </w:r>
      <w:r w:rsidRPr="221126F8">
        <w:rPr>
          <w:rFonts w:ascii="Arial" w:hAnsi="Arial" w:cs="Arial"/>
          <w:lang w:val="nl-BE"/>
        </w:rPr>
        <w:t xml:space="preserve"> van individuen beoogt geen therapeutisch doel (H.v.J., 14.09.2000, C-384-98, </w:t>
      </w:r>
      <w:r w:rsidRPr="221126F8">
        <w:rPr>
          <w:rFonts w:ascii="Arial" w:hAnsi="Arial" w:cs="Arial"/>
          <w:i/>
          <w:iCs/>
          <w:lang w:val="nl-BE"/>
        </w:rPr>
        <w:t>D.</w:t>
      </w:r>
      <w:r w:rsidRPr="221126F8">
        <w:rPr>
          <w:rFonts w:ascii="Arial" w:hAnsi="Arial" w:cs="Arial"/>
          <w:lang w:val="nl-BE"/>
        </w:rPr>
        <w:t xml:space="preserve">, punt 22). Hieruit volgt niet dat alle medische activiteiten waarmee slechts biologische kenmerken worden vastgesteld niet binnen de werkingssfeer van de vrijstelling vallen. Zo is denkbaar dat hetzelfde of een vergelijkbaar onderzoek als hetwelk het Hof in de zaak D. niet als gezondheidskundige verzorging heeft gekwalificeerd, nodig kan zijn om bijvoorbeeld de geschiktheid van een orgaandonor vast te stellen (H.v.J. 20.11.2003, C-212/01, </w:t>
      </w:r>
      <w:r w:rsidRPr="221126F8">
        <w:rPr>
          <w:rFonts w:ascii="Arial" w:hAnsi="Arial" w:cs="Arial"/>
          <w:i/>
          <w:iCs/>
          <w:lang w:val="nl-BE"/>
        </w:rPr>
        <w:t>Unterpertinger</w:t>
      </w:r>
      <w:r w:rsidRPr="221126F8">
        <w:rPr>
          <w:rFonts w:ascii="Arial" w:hAnsi="Arial" w:cs="Arial"/>
          <w:lang w:val="nl-BE"/>
        </w:rPr>
        <w:t xml:space="preserve">, concl. Adv.-Gen. C. Stix-Hackl, punt 64). Deze handeling heeft wel degelijk een therapeutisch doel. Uit de rechtspraak blijkt dus dat voor de vraag of een medische ingreep van btw moet worden vrijgesteld, het doel van deze ingreep beslissend is: niet alle activiteiten van een arts zijn vrijgesteld, maar enkel die activiteiten die een therapeutisch doel hebben (H.v.J. 20.11.2003, C-212/01, </w:t>
      </w:r>
      <w:r w:rsidRPr="221126F8">
        <w:rPr>
          <w:rFonts w:ascii="Arial" w:hAnsi="Arial" w:cs="Arial"/>
          <w:i/>
          <w:iCs/>
          <w:lang w:val="nl-BE"/>
        </w:rPr>
        <w:t>Unterpertinger</w:t>
      </w:r>
      <w:r w:rsidRPr="221126F8">
        <w:rPr>
          <w:rFonts w:ascii="Arial" w:hAnsi="Arial" w:cs="Arial"/>
          <w:lang w:val="nl-BE"/>
        </w:rPr>
        <w:t xml:space="preserve">, concl. Adv.-Gen. C. Stix-Hackl, punt 68). </w:t>
      </w:r>
    </w:p>
    <w:p w14:paraId="23B97C5A" w14:textId="77777777" w:rsidR="00002BF0" w:rsidRPr="008341D1" w:rsidRDefault="00002BF0" w:rsidP="00002BF0">
      <w:pPr>
        <w:pStyle w:val="NoSpacing"/>
        <w:ind w:left="360"/>
        <w:rPr>
          <w:rFonts w:ascii="Arial" w:hAnsi="Arial" w:cs="Arial"/>
          <w:szCs w:val="22"/>
          <w:lang w:val="nl-BE"/>
        </w:rPr>
      </w:pPr>
    </w:p>
    <w:p w14:paraId="1DE43C9F" w14:textId="77777777" w:rsidR="00002BF0" w:rsidRPr="008341D1" w:rsidRDefault="00002BF0" w:rsidP="00002BF0">
      <w:pPr>
        <w:pStyle w:val="NoSpacing"/>
        <w:numPr>
          <w:ilvl w:val="0"/>
          <w:numId w:val="2"/>
        </w:numPr>
        <w:rPr>
          <w:rFonts w:ascii="Arial" w:hAnsi="Arial" w:cs="Arial"/>
          <w:lang w:val="nl-BE"/>
        </w:rPr>
      </w:pPr>
      <w:r>
        <w:rPr>
          <w:rFonts w:ascii="Arial" w:hAnsi="Arial" w:cs="Arial"/>
          <w:lang w:val="nl-BE"/>
        </w:rPr>
        <w:t>h</w:t>
      </w:r>
      <w:r w:rsidRPr="221126F8">
        <w:rPr>
          <w:rFonts w:ascii="Arial" w:hAnsi="Arial" w:cs="Arial"/>
          <w:lang w:val="nl-BE"/>
        </w:rPr>
        <w:t xml:space="preserve">et </w:t>
      </w:r>
      <w:r w:rsidRPr="006D6B62">
        <w:rPr>
          <w:rFonts w:ascii="Arial" w:hAnsi="Arial" w:cs="Arial"/>
          <w:u w:val="single"/>
          <w:lang w:val="nl-BE"/>
        </w:rPr>
        <w:t>opstellen van een medisch deskundigenrapport</w:t>
      </w:r>
      <w:r w:rsidRPr="221126F8">
        <w:rPr>
          <w:rFonts w:ascii="Arial" w:hAnsi="Arial" w:cs="Arial"/>
          <w:lang w:val="nl-BE"/>
        </w:rPr>
        <w:t>. Deze dienst vergt wel de medische bekwaamheden van de dienstverrichter, en kan wellicht ook activiteiten meebrengen die typisch zijn voor het medische beroep, zoals lichamelijk onderzoek van de patiënt of analyse van zijn medisch dossier, maar het voornaamste doel van die dienst is niet de bescherming, met inbegrip van instandhouding of herstel, van de gezondheid van de onderzochte persoon. Deze dienst, die tot doel heeft een antwoord te geven op de in het expertiseverzoek gestelde vragen, wordt verricht om</w:t>
      </w:r>
      <w:r w:rsidRPr="221126F8">
        <w:rPr>
          <w:rFonts w:ascii="Arial" w:hAnsi="Arial" w:cs="Arial"/>
          <w:b/>
          <w:bCs/>
          <w:lang w:val="nl-BE"/>
        </w:rPr>
        <w:t xml:space="preserve"> </w:t>
      </w:r>
      <w:r w:rsidRPr="221126F8">
        <w:rPr>
          <w:rFonts w:ascii="Arial" w:hAnsi="Arial" w:cs="Arial"/>
          <w:lang w:val="nl-BE"/>
        </w:rPr>
        <w:t xml:space="preserve">een derde in staat te stellen een beslissing te nemen die rechtsgevolgen zal hebben voor de betrokkene of voor anderen. Weliswaar kan om een medisch deskundigenrapport ook worden gevraagd door de betrokkene zelf en kan dit rapport indirect bijdragen tot de bescherming van zijn gezondheid, doordat een nieuw probleem wordt ontdekt of een eerdere diagnose bijgesteld, maar het voornaamste doel van elke verrichting van dit type is toch het voldoen aan een bij wet of overeenkomst gestelde voorwaarde in het besluitvormingsproces van anderen (H.v.J. 20.11.2003, C-212/01, </w:t>
      </w:r>
      <w:r w:rsidRPr="221126F8">
        <w:rPr>
          <w:rFonts w:ascii="Arial" w:hAnsi="Arial" w:cs="Arial"/>
          <w:i/>
          <w:iCs/>
          <w:lang w:val="nl-BE"/>
        </w:rPr>
        <w:t xml:space="preserve">Unterpertinger, </w:t>
      </w:r>
      <w:r w:rsidRPr="221126F8">
        <w:rPr>
          <w:rFonts w:ascii="Arial" w:hAnsi="Arial" w:cs="Arial"/>
          <w:lang w:val="nl-BE"/>
        </w:rPr>
        <w:t>punt 43).  Voor een dergelijke dienst kan de vrijstelling dus niet gelden.</w:t>
      </w:r>
    </w:p>
    <w:p w14:paraId="57F674E1" w14:textId="77777777" w:rsidR="00002BF0" w:rsidRPr="008341D1" w:rsidRDefault="00002BF0" w:rsidP="00002BF0">
      <w:pPr>
        <w:pStyle w:val="NoSpacing"/>
        <w:ind w:left="360"/>
        <w:rPr>
          <w:rFonts w:ascii="Arial" w:hAnsi="Arial" w:cs="Arial"/>
          <w:szCs w:val="22"/>
          <w:lang w:val="nl-BE"/>
        </w:rPr>
      </w:pPr>
    </w:p>
    <w:p w14:paraId="24EEC2C4" w14:textId="77777777" w:rsidR="00002BF0" w:rsidRPr="008341D1" w:rsidRDefault="00002BF0" w:rsidP="00002BF0">
      <w:pPr>
        <w:pStyle w:val="NoSpacing"/>
        <w:numPr>
          <w:ilvl w:val="0"/>
          <w:numId w:val="2"/>
        </w:numPr>
        <w:rPr>
          <w:rFonts w:ascii="Arial" w:hAnsi="Arial" w:cs="Arial"/>
          <w:lang w:val="nl-BE"/>
        </w:rPr>
      </w:pPr>
      <w:r>
        <w:rPr>
          <w:rFonts w:ascii="Arial" w:hAnsi="Arial" w:cs="Arial"/>
        </w:rPr>
        <w:t>h</w:t>
      </w:r>
      <w:r w:rsidRPr="006D6B62">
        <w:rPr>
          <w:rFonts w:ascii="Arial" w:hAnsi="Arial" w:cs="Arial"/>
        </w:rPr>
        <w:t xml:space="preserve">et afleveren van </w:t>
      </w:r>
      <w:r w:rsidRPr="006D6B62">
        <w:rPr>
          <w:rFonts w:ascii="Arial" w:hAnsi="Arial" w:cs="Arial"/>
          <w:u w:val="single"/>
        </w:rPr>
        <w:t>medische attesten</w:t>
      </w:r>
      <w:r w:rsidRPr="006D6B62">
        <w:rPr>
          <w:rFonts w:ascii="Arial" w:hAnsi="Arial" w:cs="Arial"/>
        </w:rPr>
        <w:t xml:space="preserve"> voor de toekenning van een oorlogspensioen of</w:t>
      </w:r>
      <w:r w:rsidRPr="221126F8">
        <w:rPr>
          <w:rFonts w:ascii="Arial" w:hAnsi="Arial" w:cs="Arial"/>
          <w:lang w:val="nl-BE"/>
        </w:rPr>
        <w:t xml:space="preserve"> </w:t>
      </w:r>
      <w:r w:rsidRPr="006D6B62">
        <w:rPr>
          <w:rFonts w:ascii="Arial" w:hAnsi="Arial" w:cs="Arial"/>
          <w:lang w:val="nl-BE"/>
        </w:rPr>
        <w:t>het verrichten van medische onderzoeken met het oog op de opstelling van een medisch deskundigenrapport ter zake van aansprakelijkheid en schaderaming</w:t>
      </w:r>
      <w:r w:rsidRPr="221126F8">
        <w:rPr>
          <w:rFonts w:ascii="Arial" w:hAnsi="Arial" w:cs="Arial"/>
          <w:lang w:val="nl-BE"/>
        </w:rPr>
        <w:t xml:space="preserve">, ten behoeve van personen die de instelling van een vordering wegens letselschade overwegen of, ter zake van medische beroepsfouten, ten behoeve van personen die de instelling van een vordering in rechte overwegen (H.v.J., 20.11.2003, C-307/01, </w:t>
      </w:r>
      <w:r w:rsidRPr="221126F8">
        <w:rPr>
          <w:rFonts w:ascii="Arial" w:hAnsi="Arial" w:cs="Arial"/>
          <w:i/>
          <w:iCs/>
          <w:lang w:val="nl-BE"/>
        </w:rPr>
        <w:t>Peter d'Ambrumenil en Dispute Resolution Services</w:t>
      </w:r>
      <w:r w:rsidRPr="221126F8">
        <w:rPr>
          <w:rFonts w:ascii="Arial" w:hAnsi="Arial" w:cs="Arial"/>
          <w:lang w:val="nl-BE"/>
        </w:rPr>
        <w:t>, punt 69).</w:t>
      </w:r>
    </w:p>
    <w:p w14:paraId="76B2A9AC" w14:textId="77777777" w:rsidR="00002BF0" w:rsidRPr="008341D1" w:rsidRDefault="00002BF0" w:rsidP="00002BF0">
      <w:pPr>
        <w:pStyle w:val="NoSpacing"/>
        <w:rPr>
          <w:rFonts w:ascii="Arial" w:hAnsi="Arial" w:cs="Arial"/>
          <w:szCs w:val="22"/>
          <w:lang w:val="nl-BE"/>
        </w:rPr>
      </w:pPr>
    </w:p>
    <w:p w14:paraId="3F242ED6" w14:textId="0EDF2873" w:rsidR="00002BF0" w:rsidRDefault="00002BF0" w:rsidP="00002BF0">
      <w:pPr>
        <w:pStyle w:val="NoSpacing"/>
        <w:numPr>
          <w:ilvl w:val="0"/>
          <w:numId w:val="1"/>
        </w:numPr>
        <w:rPr>
          <w:rFonts w:ascii="Arial" w:hAnsi="Arial" w:cs="Arial"/>
          <w:lang w:val="nl-BE"/>
        </w:rPr>
      </w:pPr>
      <w:r>
        <w:rPr>
          <w:rFonts w:ascii="Arial" w:hAnsi="Arial" w:cs="Arial"/>
          <w:lang w:val="nl-BE"/>
        </w:rPr>
        <w:t>h</w:t>
      </w:r>
      <w:r w:rsidRPr="006D6B62">
        <w:rPr>
          <w:rFonts w:ascii="Arial" w:hAnsi="Arial" w:cs="Arial"/>
          <w:lang w:val="nl-BE"/>
        </w:rPr>
        <w:t xml:space="preserve">et </w:t>
      </w:r>
      <w:r w:rsidRPr="006D6B62">
        <w:rPr>
          <w:rFonts w:ascii="Arial" w:hAnsi="Arial" w:cs="Arial"/>
          <w:u w:val="single"/>
          <w:lang w:val="nl-BE"/>
        </w:rPr>
        <w:t>vervoer van menselijke organen en bij mensen afgenomen monsters</w:t>
      </w:r>
      <w:r w:rsidRPr="006D6B62">
        <w:rPr>
          <w:rFonts w:ascii="Arial" w:hAnsi="Arial" w:cs="Arial"/>
          <w:lang w:val="nl-BE"/>
        </w:rPr>
        <w:t xml:space="preserve"> voor verschillende ziekenhuizen en laboratoria</w:t>
      </w:r>
      <w:r w:rsidRPr="221126F8">
        <w:rPr>
          <w:rFonts w:ascii="Arial" w:hAnsi="Arial" w:cs="Arial"/>
          <w:lang w:val="nl-BE"/>
        </w:rPr>
        <w:t xml:space="preserve">, is duidelijk geen medische verzorging, aangezien een dergelijke activiteit niet tot de medische diensten behoort die rechtstreeks tot eigenlijk doel hebben de diagnose, de behandeling of de genezing van ziekten of gezondheidsproblemen, en evenmin de bescherming, het behoud of het herstel van de gezondheid (H.v.J., 02.07.2015, C-334/14, </w:t>
      </w:r>
      <w:r w:rsidRPr="221126F8">
        <w:rPr>
          <w:rFonts w:ascii="Arial" w:hAnsi="Arial" w:cs="Arial"/>
          <w:i/>
          <w:iCs/>
          <w:lang w:val="nl-BE"/>
        </w:rPr>
        <w:t>De Fruytier</w:t>
      </w:r>
      <w:r w:rsidRPr="221126F8">
        <w:rPr>
          <w:rFonts w:ascii="Arial" w:hAnsi="Arial" w:cs="Arial"/>
          <w:lang w:val="nl-BE"/>
        </w:rPr>
        <w:t>, punt 23).</w:t>
      </w:r>
    </w:p>
    <w:p w14:paraId="221F6F17" w14:textId="77777777" w:rsidR="00002BF0" w:rsidRDefault="00002BF0" w:rsidP="00002BF0">
      <w:pPr>
        <w:pStyle w:val="NoSpacing"/>
        <w:rPr>
          <w:rFonts w:ascii="Arial" w:hAnsi="Arial" w:cs="Arial"/>
          <w:lang w:val="nl-BE"/>
        </w:rPr>
      </w:pPr>
    </w:p>
    <w:p w14:paraId="4CA1FF8F" w14:textId="6AB9ACD4" w:rsidR="00002BF0" w:rsidRDefault="00002BF0" w:rsidP="00002BF0">
      <w:pPr>
        <w:pStyle w:val="ListParagraph"/>
        <w:numPr>
          <w:ilvl w:val="0"/>
          <w:numId w:val="1"/>
        </w:numPr>
      </w:pPr>
      <w:r w:rsidRPr="00002BF0">
        <w:rPr>
          <w:rFonts w:ascii="Arial" w:eastAsia="Arial" w:hAnsi="Arial" w:cs="Arial"/>
          <w:szCs w:val="22"/>
          <w:lang w:val="nl-BE"/>
        </w:rPr>
        <w:t xml:space="preserve">een in een sportschool verrichte voedingsbegeleidingsdienst kan op middellange en lange termijn of zeer ruim opgevat, een instrument zijn voor de preventie van bepaalde ziekten, zoals zwaarlijvigheid. Hetzelfde geldt echter voor sportbeoefening zelf, waarvan wordt erkend dat dit een rol speelt bij bijvoorbeeld het voorkomen van hart- en </w:t>
      </w:r>
      <w:r w:rsidRPr="00002BF0">
        <w:rPr>
          <w:rFonts w:ascii="Arial" w:eastAsia="Arial" w:hAnsi="Arial" w:cs="Arial"/>
          <w:szCs w:val="22"/>
          <w:lang w:val="nl-BE"/>
        </w:rPr>
        <w:lastRenderedPageBreak/>
        <w:t xml:space="preserve">vaatziekten. Met een dergelijke dienst wordt dus in beginsel een gezondheidsgerelateerd doel nagestreefd, maar niet, of niet noodzakelijkwijs, een therapeutisch doel. Een </w:t>
      </w:r>
      <w:r w:rsidRPr="00002BF0">
        <w:rPr>
          <w:rFonts w:ascii="Arial" w:eastAsia="Arial" w:hAnsi="Arial" w:cs="Arial"/>
          <w:szCs w:val="22"/>
          <w:u w:val="single"/>
          <w:lang w:val="nl-BE"/>
        </w:rPr>
        <w:t>voedingsbegeleidingsdienst</w:t>
      </w:r>
      <w:r w:rsidRPr="00002BF0">
        <w:rPr>
          <w:rFonts w:ascii="Arial" w:eastAsia="Arial" w:hAnsi="Arial" w:cs="Arial"/>
          <w:szCs w:val="22"/>
          <w:lang w:val="nl-BE"/>
        </w:rPr>
        <w:t xml:space="preserve"> die door een gecertificeerde en gemachtigde deskundige in sportscholen wordt verricht, eventueel in het kader van programma’s die eveneens fitnessdiensten en diensten voor lichamelijk welzijn omvatten, een onderscheiden en zelfstandige dienst vormt en deze kan niet onder de vrijstelling vallen. Dit onder voorbehoud van verificatie door de verwijzende rechter. (H.v.J., 04.03.2021, C-581/19, </w:t>
      </w:r>
      <w:r w:rsidRPr="00002BF0">
        <w:rPr>
          <w:rFonts w:ascii="Arial" w:eastAsia="Arial" w:hAnsi="Arial" w:cs="Arial"/>
          <w:i/>
          <w:iCs/>
          <w:szCs w:val="22"/>
          <w:lang w:val="nl-BE"/>
        </w:rPr>
        <w:t>Frenetikexito– Unipessoal Lda</w:t>
      </w:r>
      <w:r w:rsidRPr="00002BF0">
        <w:rPr>
          <w:rFonts w:ascii="Arial" w:eastAsia="Arial" w:hAnsi="Arial" w:cs="Arial"/>
          <w:szCs w:val="22"/>
          <w:lang w:val="nl-BE"/>
        </w:rPr>
        <w:t xml:space="preserve">). Deze rechtspraak is in overeenstemming met de conclusie van A-G Kokott dat voedingsadviezen en fitnesstraining door een fitnesscentrum onderscheiden zelfstandige prestaties zijn die alleen onder de medische vrijstelling kunnen vallen indien ze een therapeutisch doel hebben (Concl. adv.-gen. J. Kokott van 22.10.2020, C-581/19, </w:t>
      </w:r>
      <w:r w:rsidRPr="00002BF0">
        <w:rPr>
          <w:rFonts w:ascii="Arial" w:eastAsia="Arial" w:hAnsi="Arial" w:cs="Arial"/>
          <w:i/>
          <w:iCs/>
          <w:szCs w:val="22"/>
          <w:lang w:val="nl-BE"/>
        </w:rPr>
        <w:t>Frenetikexito – Unipessoal Lda</w:t>
      </w:r>
      <w:r w:rsidRPr="00002BF0">
        <w:rPr>
          <w:rFonts w:ascii="Arial" w:eastAsia="Arial" w:hAnsi="Arial" w:cs="Arial"/>
          <w:szCs w:val="22"/>
          <w:lang w:val="nl-BE"/>
        </w:rPr>
        <w:t>.)</w:t>
      </w:r>
    </w:p>
    <w:sectPr w:rsidR="00002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tillium Web">
    <w:altName w:val="Calibri"/>
    <w:charset w:val="00"/>
    <w:family w:val="auto"/>
    <w:pitch w:val="variable"/>
    <w:sig w:usb0="00000007" w:usb1="00000001"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2484D"/>
    <w:multiLevelType w:val="hybridMultilevel"/>
    <w:tmpl w:val="D0AA9628"/>
    <w:lvl w:ilvl="0" w:tplc="FFFFFFFF">
      <w:start w:val="1"/>
      <w:numFmt w:val="bullet"/>
      <w:lvlText w:val="-"/>
      <w:lvlJc w:val="left"/>
      <w:pPr>
        <w:ind w:left="360" w:hanging="360"/>
      </w:pPr>
      <w:rPr>
        <w:rFonts w:ascii="Titillium Web" w:hAnsi="Titillium Web"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74C44F0D"/>
    <w:multiLevelType w:val="hybridMultilevel"/>
    <w:tmpl w:val="B3EA8F0E"/>
    <w:lvl w:ilvl="0" w:tplc="B9E4117A">
      <w:start w:val="68"/>
      <w:numFmt w:val="bullet"/>
      <w:lvlText w:val="-"/>
      <w:lvlJc w:val="left"/>
      <w:pPr>
        <w:ind w:left="360" w:hanging="360"/>
      </w:pPr>
      <w:rPr>
        <w:rFonts w:ascii="Titillium Web" w:eastAsia="Times New Roman" w:hAnsi="Titillium Web"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F0"/>
    <w:rsid w:val="00002BF0"/>
    <w:rsid w:val="00E5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BD52"/>
  <w15:chartTrackingRefBased/>
  <w15:docId w15:val="{4BFB3B43-3716-425E-BD64-FF878E5E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F0"/>
    <w:pPr>
      <w:tabs>
        <w:tab w:val="left" w:pos="567"/>
        <w:tab w:val="left" w:pos="1134"/>
        <w:tab w:val="left" w:pos="1701"/>
        <w:tab w:val="left" w:pos="2268"/>
        <w:tab w:val="left" w:pos="2835"/>
        <w:tab w:val="left" w:pos="3402"/>
        <w:tab w:val="left" w:pos="3969"/>
      </w:tabs>
      <w:spacing w:after="240" w:line="240" w:lineRule="auto"/>
    </w:pPr>
    <w:rPr>
      <w:rFonts w:ascii="Times New Roman" w:eastAsia="Times New Roman" w:hAnsi="Times New Roman" w:cs="Times New Roman"/>
      <w:szCs w:val="20"/>
      <w:lang w:va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BF0"/>
    <w:pPr>
      <w:tabs>
        <w:tab w:val="left" w:pos="567"/>
        <w:tab w:val="left" w:pos="1134"/>
        <w:tab w:val="left" w:pos="1701"/>
        <w:tab w:val="left" w:pos="2268"/>
        <w:tab w:val="left" w:pos="2835"/>
        <w:tab w:val="left" w:pos="3402"/>
        <w:tab w:val="left" w:pos="3969"/>
      </w:tabs>
      <w:spacing w:after="0" w:line="240" w:lineRule="auto"/>
    </w:pPr>
    <w:rPr>
      <w:rFonts w:ascii="Times New Roman" w:eastAsia="Times New Roman" w:hAnsi="Times New Roman" w:cs="Times New Roman"/>
      <w:szCs w:val="20"/>
      <w:lang w:val="nl" w:eastAsia="nl-NL"/>
    </w:rPr>
  </w:style>
  <w:style w:type="paragraph" w:styleId="ListParagraph">
    <w:name w:val="List Paragraph"/>
    <w:basedOn w:val="Normal"/>
    <w:uiPriority w:val="34"/>
    <w:qFormat/>
    <w:rsid w:val="00002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2021-12-15T11:25:00Z</dcterms:created>
  <dcterms:modified xsi:type="dcterms:W3CDTF">2021-12-15T11:26:00Z</dcterms:modified>
</cp:coreProperties>
</file>