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DDFD" w14:textId="5FB4F599" w:rsidR="00CC60B8" w:rsidRDefault="00321CE1">
      <w:pPr>
        <w:rPr>
          <w:b/>
          <w:bCs/>
          <w:color w:val="000000"/>
          <w:sz w:val="27"/>
          <w:szCs w:val="27"/>
        </w:rPr>
      </w:pPr>
      <w:r>
        <w:rPr>
          <w:b/>
          <w:bCs/>
          <w:color w:val="000000"/>
          <w:sz w:val="27"/>
          <w:szCs w:val="27"/>
        </w:rPr>
        <w:t>  </w:t>
      </w:r>
      <w:bookmarkStart w:id="0" w:name="LNK0005"/>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"LNKR0005" </w:instrText>
      </w:r>
      <w:r>
        <w:fldChar w:fldCharType="separate"/>
      </w:r>
      <w:r>
        <w:rPr>
          <w:rStyle w:val="Hyperlink"/>
          <w:b/>
          <w:bCs/>
          <w:sz w:val="27"/>
          <w:szCs w:val="27"/>
        </w:rPr>
        <w:t>HOOFDSTUK 5.</w:t>
      </w:r>
      <w:r>
        <w:fldChar w:fldCharType="end"/>
      </w:r>
      <w:bookmarkEnd w:id="0"/>
      <w:r>
        <w:rPr>
          <w:b/>
          <w:bCs/>
          <w:color w:val="000000"/>
          <w:sz w:val="27"/>
          <w:szCs w:val="27"/>
        </w:rPr>
        <w:t> - Dringende bepalingen inzake het beheer van de opname van COVID-19-patiënten in ziekenhuizen</w:t>
      </w:r>
      <w:r>
        <w:rPr>
          <w:b/>
          <w:bCs/>
          <w:color w:val="000000"/>
          <w:sz w:val="27"/>
          <w:szCs w:val="27"/>
        </w:rPr>
        <w:br/>
      </w:r>
      <w:r>
        <w:rPr>
          <w:b/>
          <w:bCs/>
          <w:color w:val="000000"/>
          <w:sz w:val="27"/>
          <w:szCs w:val="27"/>
        </w:rPr>
        <w:br/>
        <w:t>  </w:t>
      </w:r>
      <w:bookmarkStart w:id="1" w:name="Art.11"/>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"Art.10" </w:instrText>
      </w:r>
      <w:r>
        <w:fldChar w:fldCharType="separate"/>
      </w:r>
      <w:r>
        <w:rPr>
          <w:rStyle w:val="Hyperlink"/>
          <w:b/>
          <w:bCs/>
          <w:sz w:val="27"/>
          <w:szCs w:val="27"/>
        </w:rPr>
        <w:t>Art.</w:t>
      </w:r>
      <w:r>
        <w:fldChar w:fldCharType="end"/>
      </w:r>
      <w:bookmarkEnd w:id="1"/>
      <w:r>
        <w:rPr>
          <w:b/>
          <w:bCs/>
          <w:color w:val="000000"/>
          <w:sz w:val="27"/>
          <w:szCs w:val="27"/>
        </w:rPr>
        <w:t> </w:t>
      </w:r>
      <w:hyperlink r:id="rId4" w:anchor="Art.12" w:history="1">
        <w:r>
          <w:rPr>
            <w:rStyle w:val="Hyperlink"/>
            <w:b/>
            <w:bCs/>
            <w:sz w:val="27"/>
            <w:szCs w:val="27"/>
          </w:rPr>
          <w:t>11</w:t>
        </w:r>
      </w:hyperlink>
      <w:r>
        <w:rPr>
          <w:b/>
          <w:bCs/>
          <w:color w:val="000000"/>
          <w:sz w:val="27"/>
          <w:szCs w:val="27"/>
        </w:rPr>
        <w:t>. De aangestelde van het eenvormig oproepstelsel geeft, op basis van de gegevens waarover deze beschikt inzake de beschikbare opnamecapaciteit in de ziekenhuizen, de interveniërende ambulancedienst of het interventieteam van de functie "mobiele urgentie-groep" het ziekenhuis op waarnaar de patiënt moet vervoerd worden. Dit ziekenhuis moet niet het dichtstbijzijnde ziekenhuis zijn met een erkende functie "gespecialiseerde spoedgevallenzorg". In de mate van het mogelijke en rekening houdend met de medische toestand van de patiënt, houdt de aangestelde rekening met de afstand van het bestemmingsziekenhuis tot de woonplaats van de patiënt.</w:t>
      </w:r>
      <w:r>
        <w:rPr>
          <w:b/>
          <w:bCs/>
          <w:color w:val="000000"/>
          <w:sz w:val="27"/>
          <w:szCs w:val="27"/>
        </w:rPr>
        <w:br/>
      </w:r>
      <w:r>
        <w:rPr>
          <w:b/>
          <w:bCs/>
          <w:color w:val="000000"/>
          <w:sz w:val="27"/>
          <w:szCs w:val="27"/>
        </w:rPr>
        <w:br/>
        <w:t>  </w:t>
      </w:r>
      <w:bookmarkStart w:id="2" w:name="Art.12"/>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"Art.11" </w:instrText>
      </w:r>
      <w:r>
        <w:fldChar w:fldCharType="separate"/>
      </w:r>
      <w:r>
        <w:rPr>
          <w:rStyle w:val="Hyperlink"/>
          <w:b/>
          <w:bCs/>
          <w:sz w:val="27"/>
          <w:szCs w:val="27"/>
        </w:rPr>
        <w:t>Art.</w:t>
      </w:r>
      <w:r>
        <w:fldChar w:fldCharType="end"/>
      </w:r>
      <w:bookmarkEnd w:id="2"/>
      <w:r>
        <w:rPr>
          <w:b/>
          <w:bCs/>
          <w:color w:val="000000"/>
          <w:sz w:val="27"/>
          <w:szCs w:val="27"/>
        </w:rPr>
        <w:t> </w:t>
      </w:r>
      <w:hyperlink r:id="rId5" w:anchor="Art.13" w:history="1">
        <w:r>
          <w:rPr>
            <w:rStyle w:val="Hyperlink"/>
            <w:b/>
            <w:bCs/>
            <w:sz w:val="27"/>
            <w:szCs w:val="27"/>
          </w:rPr>
          <w:t>12</w:t>
        </w:r>
      </w:hyperlink>
      <w:r>
        <w:rPr>
          <w:b/>
          <w:bCs/>
          <w:color w:val="000000"/>
          <w:sz w:val="27"/>
          <w:szCs w:val="27"/>
        </w:rPr>
        <w:t>. § 1. Indien het ziekenhuis niet meer over voldoende behandelingscapaciteit beschikt of indien dit nodig is om uitvoering te geven aan de beslissingen van het bijzonder ad-hoc-comité bedoeld in artikel 13 kan een patiënt overgebracht worden naar een ander ziekenhuis. Bij urgentie kan dit zonder de toestemming van de patiënt of diens vertegenwoordiger. Voorafgaand aan elk ziekenvervoer tussen ziekenhuizen wordt de aangestelde van het eenvormig oproepstelsel gecontacteerd door het ziekenhuis dat het transport wil uitvoeren. De aangestelde van het eenvormig oproepstelsel geeft, op basis van de gegevens waarover deze beschikt inzake de beschikbare opnamecapaciteit in de ziekenhuizen, de interveniërende ambulancedienst of het interventieteam van de functie "mobiele urgentiegroep" het ziekenhuis op waarnaar de patiënt moet worden vervoerd. In de mate van het mogelijke en rekening houdend met de medische toestand van de patiënt, houdt de aangestelde rekening met de afstand van het bestemmingsziekenhuis tot de woonplaats van de patiënt.</w:t>
      </w:r>
      <w:r>
        <w:rPr>
          <w:b/>
          <w:bCs/>
          <w:color w:val="000000"/>
          <w:sz w:val="27"/>
          <w:szCs w:val="27"/>
        </w:rPr>
        <w:br/>
        <w:t>  § 2. De federale gezondheidsinspecteur wordt door het ziekenhuis op de hoogte gesteld van elk ziekenvervoer bedoeld in de eerste paragraaf.</w:t>
      </w:r>
      <w:r>
        <w:rPr>
          <w:b/>
          <w:bCs/>
          <w:color w:val="000000"/>
          <w:sz w:val="27"/>
          <w:szCs w:val="27"/>
        </w:rPr>
        <w:br/>
        <w:t>  § 3. De medische verantwoording voor elk ziekenvervoer zoals bedoeld in de eerste paragraaf, wordt in het medisch dossier van de patiënt genoteerd.</w:t>
      </w:r>
      <w:r>
        <w:rPr>
          <w:b/>
          <w:bCs/>
          <w:color w:val="000000"/>
          <w:sz w:val="27"/>
          <w:szCs w:val="27"/>
        </w:rPr>
        <w:br/>
      </w:r>
      <w:r>
        <w:rPr>
          <w:b/>
          <w:bCs/>
          <w:color w:val="000000"/>
          <w:sz w:val="27"/>
          <w:szCs w:val="27"/>
        </w:rPr>
        <w:br/>
        <w:t>  </w:t>
      </w:r>
      <w:bookmarkStart w:id="3" w:name="Art.13"/>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"Art.12" </w:instrText>
      </w:r>
      <w:r>
        <w:fldChar w:fldCharType="separate"/>
      </w:r>
      <w:r>
        <w:rPr>
          <w:rStyle w:val="Hyperlink"/>
          <w:b/>
          <w:bCs/>
          <w:sz w:val="27"/>
          <w:szCs w:val="27"/>
        </w:rPr>
        <w:t>Art.</w:t>
      </w:r>
      <w:r>
        <w:fldChar w:fldCharType="end"/>
      </w:r>
      <w:bookmarkEnd w:id="3"/>
      <w:r>
        <w:rPr>
          <w:b/>
          <w:bCs/>
          <w:color w:val="000000"/>
          <w:sz w:val="27"/>
          <w:szCs w:val="27"/>
        </w:rPr>
        <w:t> </w:t>
      </w:r>
      <w:hyperlink r:id="rId6" w:anchor="Art.14" w:history="1">
        <w:r>
          <w:rPr>
            <w:rStyle w:val="Hyperlink"/>
            <w:b/>
            <w:bCs/>
            <w:sz w:val="27"/>
            <w:szCs w:val="27"/>
          </w:rPr>
          <w:t>13</w:t>
        </w:r>
      </w:hyperlink>
      <w:r>
        <w:rPr>
          <w:b/>
          <w:bCs/>
          <w:color w:val="000000"/>
          <w:sz w:val="27"/>
          <w:szCs w:val="27"/>
        </w:rPr>
        <w:t xml:space="preserve">. In de schoot van de FOD Volksgezondheid, Veiligheid van de Voedselketen en Leefmilieu, wordt een bijzonder ad-hoc comité geïnstalleerd bestaande uit vertegenwoordigers van de ziekenhuissector, experten op het vlak van crisismanagement en bevoegde ambtenaren. Dit bijzonder ad-hoc comité kan voor alle ziekenhuizen een capaciteit aan ziekenhuisbedden bepalen die voor de verzorging van COVID-19-patiënten voorbehouden moeten blijven, </w:t>
      </w:r>
      <w:r>
        <w:rPr>
          <w:b/>
          <w:bCs/>
          <w:color w:val="000000"/>
          <w:sz w:val="27"/>
          <w:szCs w:val="27"/>
        </w:rPr>
        <w:lastRenderedPageBreak/>
        <w:t>desgevallend gemoduleerd in functie van het type ziekenhuis, de grootte van het ziekenhuis of een lokale situatie. Het bijzonder ad-hoc comité kan aparte aantallen bepalen voor intensieve en niet-intensieve bedden.</w:t>
      </w:r>
      <w:r>
        <w:rPr>
          <w:b/>
          <w:bCs/>
          <w:color w:val="000000"/>
          <w:sz w:val="27"/>
          <w:szCs w:val="27"/>
        </w:rPr>
        <w:br/>
      </w:r>
      <w:r>
        <w:rPr>
          <w:b/>
          <w:bCs/>
          <w:color w:val="000000"/>
          <w:sz w:val="27"/>
          <w:szCs w:val="27"/>
        </w:rPr>
        <w:br/>
        <w:t>  </w:t>
      </w:r>
      <w:bookmarkStart w:id="4" w:name="Art.14"/>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"Art.13" </w:instrText>
      </w:r>
      <w:r>
        <w:fldChar w:fldCharType="separate"/>
      </w:r>
      <w:r>
        <w:rPr>
          <w:rStyle w:val="Hyperlink"/>
          <w:b/>
          <w:bCs/>
          <w:sz w:val="27"/>
          <w:szCs w:val="27"/>
        </w:rPr>
        <w:t>Art.</w:t>
      </w:r>
      <w:r>
        <w:fldChar w:fldCharType="end"/>
      </w:r>
      <w:bookmarkEnd w:id="4"/>
      <w:r>
        <w:rPr>
          <w:b/>
          <w:bCs/>
          <w:color w:val="000000"/>
          <w:sz w:val="27"/>
          <w:szCs w:val="27"/>
        </w:rPr>
        <w:t> </w:t>
      </w:r>
      <w:hyperlink r:id="rId7" w:anchor="Art.15" w:history="1">
        <w:r>
          <w:rPr>
            <w:rStyle w:val="Hyperlink"/>
            <w:b/>
            <w:bCs/>
            <w:sz w:val="27"/>
            <w:szCs w:val="27"/>
          </w:rPr>
          <w:t>14</w:t>
        </w:r>
      </w:hyperlink>
      <w:r>
        <w:rPr>
          <w:b/>
          <w:bCs/>
          <w:color w:val="000000"/>
          <w:sz w:val="27"/>
          <w:szCs w:val="27"/>
        </w:rPr>
        <w:t>. § 1. De hoofdarts van elk ziekenhuis neemt, na overleg met de federale gezondheidsinspecteur, de nodige maatregelen om de overeenkomstig artikel 13 bepaalde capaciteit voor te behouden. Bij de uitvoering waakt de hoofdarts erover dat de patiëntveiligheid gegarandeerd blijft, meer bepaald bij het opname- en ontslagbeleid dat gevoerd wordt om de door het bijzonder ad-hoc comité gevraagde capaciteit aan ziekenhuisbedden vrij te houden. De hoofdarts waakt er bovendien over dat er voldoende capaciteit behouden blijft voor de dringende verzorging van andere dan COVID-19-patiënten.</w:t>
      </w:r>
      <w:r>
        <w:rPr>
          <w:b/>
          <w:bCs/>
          <w:color w:val="000000"/>
          <w:sz w:val="27"/>
          <w:szCs w:val="27"/>
        </w:rPr>
        <w:br/>
        <w:t>  § 2. De hoofdarts kan in uitzonderlijke gevallen afwijken van de overeenkomstig artikel 13 bepaalde capaciteit. Deze afwijking moet uitdrukkelijk gemotiveerd worden aan de federale gezondheidsinspecteur.</w:t>
      </w:r>
      <w:r>
        <w:rPr>
          <w:b/>
          <w:bCs/>
          <w:color w:val="000000"/>
          <w:sz w:val="27"/>
          <w:szCs w:val="27"/>
        </w:rPr>
        <w:br/>
      </w:r>
      <w:r>
        <w:rPr>
          <w:b/>
          <w:bCs/>
          <w:color w:val="000000"/>
          <w:sz w:val="27"/>
          <w:szCs w:val="27"/>
        </w:rPr>
        <w:br/>
        <w:t>  </w:t>
      </w:r>
      <w:bookmarkStart w:id="5" w:name="Art.15"/>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"Art.14" </w:instrText>
      </w:r>
      <w:r>
        <w:fldChar w:fldCharType="separate"/>
      </w:r>
      <w:r>
        <w:rPr>
          <w:rStyle w:val="Hyperlink"/>
          <w:b/>
          <w:bCs/>
          <w:sz w:val="27"/>
          <w:szCs w:val="27"/>
        </w:rPr>
        <w:t>Art.</w:t>
      </w:r>
      <w:r>
        <w:fldChar w:fldCharType="end"/>
      </w:r>
      <w:bookmarkEnd w:id="5"/>
      <w:r>
        <w:rPr>
          <w:b/>
          <w:bCs/>
          <w:color w:val="000000"/>
          <w:sz w:val="27"/>
          <w:szCs w:val="27"/>
        </w:rPr>
        <w:t> </w:t>
      </w:r>
      <w:hyperlink r:id="rId8" w:anchor="Art.16" w:history="1">
        <w:r>
          <w:rPr>
            <w:rStyle w:val="Hyperlink"/>
            <w:b/>
            <w:bCs/>
            <w:sz w:val="27"/>
            <w:szCs w:val="27"/>
          </w:rPr>
          <w:t>15</w:t>
        </w:r>
      </w:hyperlink>
      <w:r>
        <w:rPr>
          <w:b/>
          <w:bCs/>
          <w:color w:val="000000"/>
          <w:sz w:val="27"/>
          <w:szCs w:val="27"/>
        </w:rPr>
        <w:t>. § 1. Alle ziekenhuisartsen verlenen hun medewerking aan de hoofdarts om de maatregelen inzake het voorbehouden van ziekenhuisbedden voor COVID-19-patiënten te organiseren.</w:t>
      </w:r>
      <w:r>
        <w:rPr>
          <w:b/>
          <w:bCs/>
          <w:color w:val="000000"/>
          <w:sz w:val="27"/>
          <w:szCs w:val="27"/>
        </w:rPr>
        <w:br/>
        <w:t>  § 2. De hoofdarts heeft de bevoegdheid om instructies te geven aan de ziekenhuisartsen om de naleving van de maatregelen, bedoeld in artikel 14, af te dwingen.</w:t>
      </w:r>
      <w:r>
        <w:rPr>
          <w:b/>
          <w:bCs/>
          <w:color w:val="000000"/>
          <w:sz w:val="27"/>
          <w:szCs w:val="27"/>
        </w:rPr>
        <w:br/>
      </w:r>
      <w:r>
        <w:rPr>
          <w:b/>
          <w:bCs/>
          <w:color w:val="000000"/>
          <w:sz w:val="27"/>
          <w:szCs w:val="27"/>
        </w:rPr>
        <w:br/>
        <w:t>  </w:t>
      </w:r>
      <w:bookmarkStart w:id="6" w:name="Art.16"/>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"Art.15" </w:instrText>
      </w:r>
      <w:r>
        <w:fldChar w:fldCharType="separate"/>
      </w:r>
      <w:r>
        <w:rPr>
          <w:rStyle w:val="Hyperlink"/>
          <w:b/>
          <w:bCs/>
          <w:sz w:val="27"/>
          <w:szCs w:val="27"/>
        </w:rPr>
        <w:t>Art.</w:t>
      </w:r>
      <w:r>
        <w:fldChar w:fldCharType="end"/>
      </w:r>
      <w:bookmarkEnd w:id="6"/>
      <w:r>
        <w:rPr>
          <w:b/>
          <w:bCs/>
          <w:color w:val="000000"/>
          <w:sz w:val="27"/>
          <w:szCs w:val="27"/>
        </w:rPr>
        <w:t> </w:t>
      </w:r>
      <w:hyperlink r:id="rId9" w:anchor="LNK0006" w:history="1">
        <w:r>
          <w:rPr>
            <w:rStyle w:val="Hyperlink"/>
            <w:b/>
            <w:bCs/>
            <w:sz w:val="27"/>
            <w:szCs w:val="27"/>
          </w:rPr>
          <w:t>16</w:t>
        </w:r>
      </w:hyperlink>
      <w:r>
        <w:rPr>
          <w:b/>
          <w:bCs/>
          <w:color w:val="000000"/>
          <w:sz w:val="27"/>
          <w:szCs w:val="27"/>
        </w:rPr>
        <w:t>. Dit hoofdstuk treedt in werking de dag waarop deze wet in het Belgisch Staatsblad wordt bekendgemaakt en treedt buiten werking op 1 juli 2021.</w:t>
      </w:r>
      <w:r>
        <w:rPr>
          <w:b/>
          <w:bCs/>
          <w:color w:val="000000"/>
          <w:sz w:val="27"/>
          <w:szCs w:val="27"/>
        </w:rPr>
        <w:br/>
        <w:t>  De Koning kan, na overleg in de Ministerraad, de werking van dit hoofdstuk voor maximaal 6 maanden verlengen.</w:t>
      </w:r>
    </w:p>
    <w:p w14:paraId="526EED0A" w14:textId="04886D9B" w:rsidR="00321CE1" w:rsidRDefault="00321CE1">
      <w:pPr>
        <w:rPr>
          <w:b/>
          <w:bCs/>
          <w:color w:val="000000"/>
          <w:sz w:val="27"/>
          <w:szCs w:val="27"/>
        </w:rPr>
      </w:pPr>
    </w:p>
    <w:p w14:paraId="00E1860A" w14:textId="06D60573" w:rsidR="00321CE1" w:rsidRDefault="00321CE1">
      <w:pPr>
        <w:rPr>
          <w:b/>
          <w:bCs/>
          <w:color w:val="000000"/>
          <w:sz w:val="27"/>
          <w:szCs w:val="27"/>
        </w:rPr>
      </w:pPr>
    </w:p>
    <w:p w14:paraId="35A0A2C9" w14:textId="53AC3A17" w:rsidR="00321CE1" w:rsidRDefault="00321CE1">
      <w:r>
        <w:rPr>
          <w:b/>
          <w:bCs/>
          <w:color w:val="000000"/>
          <w:sz w:val="27"/>
          <w:szCs w:val="27"/>
        </w:rPr>
        <w:br/>
        <w:t>  </w:t>
      </w:r>
      <w:bookmarkStart w:id="7" w:name="LNK0006"/>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"LNKR0006" </w:instrText>
      </w:r>
      <w:r>
        <w:fldChar w:fldCharType="separate"/>
      </w:r>
      <w:r>
        <w:rPr>
          <w:rStyle w:val="Hyperlink"/>
          <w:b/>
          <w:bCs/>
          <w:sz w:val="27"/>
          <w:szCs w:val="27"/>
        </w:rPr>
        <w:t>HOOFDSTUK 6.</w:t>
      </w:r>
      <w:r>
        <w:fldChar w:fldCharType="end"/>
      </w:r>
      <w:bookmarkEnd w:id="7"/>
      <w:r>
        <w:rPr>
          <w:b/>
          <w:bCs/>
          <w:color w:val="000000"/>
          <w:sz w:val="27"/>
          <w:szCs w:val="27"/>
        </w:rPr>
        <w:t> - Verrichten van geneeskundige handelingen door personen die wettig niet bevoegd zijn de geneeskunde uit te oefenen, teneinde het uitvoeren van SARS-CoV-2 testen in het kader van de coronavirus COVID-19-epidemie</w:t>
      </w:r>
      <w:r>
        <w:rPr>
          <w:b/>
          <w:bCs/>
          <w:color w:val="000000"/>
          <w:sz w:val="27"/>
          <w:szCs w:val="27"/>
        </w:rPr>
        <w:br/>
      </w:r>
      <w:r>
        <w:rPr>
          <w:b/>
          <w:bCs/>
          <w:color w:val="000000"/>
          <w:sz w:val="27"/>
          <w:szCs w:val="27"/>
        </w:rPr>
        <w:br/>
        <w:t>  </w:t>
      </w:r>
      <w:bookmarkStart w:id="8" w:name="Art.17"/>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"Art.16" </w:instrText>
      </w:r>
      <w:r>
        <w:fldChar w:fldCharType="separate"/>
      </w:r>
      <w:r>
        <w:rPr>
          <w:rStyle w:val="Hyperlink"/>
          <w:b/>
          <w:bCs/>
          <w:sz w:val="27"/>
          <w:szCs w:val="27"/>
        </w:rPr>
        <w:t>Art.</w:t>
      </w:r>
      <w:r>
        <w:fldChar w:fldCharType="end"/>
      </w:r>
      <w:bookmarkEnd w:id="8"/>
      <w:r>
        <w:rPr>
          <w:b/>
          <w:bCs/>
          <w:color w:val="000000"/>
          <w:sz w:val="27"/>
          <w:szCs w:val="27"/>
        </w:rPr>
        <w:t> </w:t>
      </w:r>
      <w:hyperlink r:id="rId10" w:anchor="Art.18" w:history="1">
        <w:r>
          <w:rPr>
            <w:rStyle w:val="Hyperlink"/>
            <w:b/>
            <w:bCs/>
            <w:sz w:val="27"/>
            <w:szCs w:val="27"/>
          </w:rPr>
          <w:t>17</w:t>
        </w:r>
      </w:hyperlink>
      <w:r>
        <w:rPr>
          <w:b/>
          <w:bCs/>
          <w:color w:val="000000"/>
          <w:sz w:val="27"/>
          <w:szCs w:val="27"/>
        </w:rPr>
        <w:t xml:space="preserve">. In het kader van de strijd tegen de verspreiding van het coronavirus COVID-19, mogen de volgende medische handelingen, namelijk het voorbereiden, uitvoeren, behandelen, opslaan en doorsturen van staalafnames en collecties, worden verricht door personen die daartoe door of krachtens de </w:t>
      </w:r>
      <w:r>
        <w:rPr>
          <w:b/>
          <w:bCs/>
          <w:color w:val="000000"/>
          <w:sz w:val="27"/>
          <w:szCs w:val="27"/>
        </w:rPr>
        <w:lastRenderedPageBreak/>
        <w:t>wet van 10 mei 2015 betreffende de uitoefening van de gezondheidszorgberoepen niet wettelijk bevoegd zijn:</w:t>
      </w:r>
      <w:r>
        <w:rPr>
          <w:b/>
          <w:bCs/>
          <w:color w:val="000000"/>
          <w:sz w:val="27"/>
          <w:szCs w:val="27"/>
        </w:rPr>
        <w:br/>
        <w:t>  1° staalafnames en collectie van secreties en excreties;</w:t>
      </w:r>
      <w:r>
        <w:rPr>
          <w:b/>
          <w:bCs/>
          <w:color w:val="000000"/>
          <w:sz w:val="27"/>
          <w:szCs w:val="27"/>
        </w:rPr>
        <w:br/>
        <w:t>  2° bloedafname via capillaire punctie.</w:t>
      </w:r>
      <w:r>
        <w:rPr>
          <w:b/>
          <w:bCs/>
          <w:color w:val="000000"/>
          <w:sz w:val="27"/>
          <w:szCs w:val="27"/>
        </w:rPr>
        <w:br/>
        <w:t>  De in het eerste lid bedoelde staalafnames en collecties mogen enkel worden verricht in het kader van mogelijke COVID-19-besmettingen.</w:t>
      </w:r>
      <w:r>
        <w:rPr>
          <w:b/>
          <w:bCs/>
          <w:color w:val="000000"/>
          <w:sz w:val="27"/>
          <w:szCs w:val="27"/>
        </w:rPr>
        <w:br/>
      </w:r>
      <w:r>
        <w:rPr>
          <w:b/>
          <w:bCs/>
          <w:color w:val="000000"/>
          <w:sz w:val="27"/>
          <w:szCs w:val="27"/>
        </w:rPr>
        <w:br/>
        <w:t>  </w:t>
      </w:r>
      <w:bookmarkStart w:id="9" w:name="Art.18"/>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"Art.17" </w:instrText>
      </w:r>
      <w:r>
        <w:fldChar w:fldCharType="separate"/>
      </w:r>
      <w:r>
        <w:rPr>
          <w:rStyle w:val="Hyperlink"/>
          <w:b/>
          <w:bCs/>
          <w:sz w:val="27"/>
          <w:szCs w:val="27"/>
        </w:rPr>
        <w:t>Art.</w:t>
      </w:r>
      <w:r>
        <w:fldChar w:fldCharType="end"/>
      </w:r>
      <w:bookmarkEnd w:id="9"/>
      <w:r>
        <w:rPr>
          <w:b/>
          <w:bCs/>
          <w:color w:val="000000"/>
          <w:sz w:val="27"/>
          <w:szCs w:val="27"/>
        </w:rPr>
        <w:t> </w:t>
      </w:r>
      <w:hyperlink r:id="rId11" w:anchor="Art.19" w:history="1">
        <w:r>
          <w:rPr>
            <w:rStyle w:val="Hyperlink"/>
            <w:b/>
            <w:bCs/>
            <w:sz w:val="27"/>
            <w:szCs w:val="27"/>
          </w:rPr>
          <w:t>18</w:t>
        </w:r>
      </w:hyperlink>
      <w:r>
        <w:rPr>
          <w:b/>
          <w:bCs/>
          <w:color w:val="000000"/>
          <w:sz w:val="27"/>
          <w:szCs w:val="27"/>
        </w:rPr>
        <w:t>. De in artikel 17 bedoelde geneeskundige handelingen kunnen enkel worden verricht indien ze cumulatief voldoen aan volgende voorwaarden:</w:t>
      </w:r>
      <w:r>
        <w:rPr>
          <w:b/>
          <w:bCs/>
          <w:color w:val="000000"/>
          <w:sz w:val="27"/>
          <w:szCs w:val="27"/>
        </w:rPr>
        <w:br/>
        <w:t>  1° ze worden verricht door de masterstudenten in de geneeskunde, heelkunde en vroedkunde, de laatstejaarsstudenten verpleegkunde en de laatstejaarsstudenten in de medische laboratoriumtechnologie, die buiten het kader van hun opleiding werkzaam zijn in hun toekomstige beroep, alsook door de volgende personen die wettelijk bevoegd zijn om hun beroep uit te oefenen in overeenstemming met de wet van 10 mei 2015 betreffende de uitoefening van de gezondheidszorgberoepen:</w:t>
      </w:r>
      <w:r>
        <w:rPr>
          <w:b/>
          <w:bCs/>
          <w:color w:val="000000"/>
          <w:sz w:val="27"/>
          <w:szCs w:val="27"/>
        </w:rPr>
        <w:br/>
        <w:t>  a) de vroedvrouwen die hun diploma hebben behaald na 1 oktober 2018;</w:t>
      </w:r>
      <w:r>
        <w:rPr>
          <w:b/>
          <w:bCs/>
          <w:color w:val="000000"/>
          <w:sz w:val="27"/>
          <w:szCs w:val="27"/>
        </w:rPr>
        <w:br/>
        <w:t>  b) de tandartsen;</w:t>
      </w:r>
      <w:r>
        <w:rPr>
          <w:b/>
          <w:bCs/>
          <w:color w:val="000000"/>
          <w:sz w:val="27"/>
          <w:szCs w:val="27"/>
        </w:rPr>
        <w:br/>
        <w:t>  c) de apothekers;</w:t>
      </w:r>
      <w:r>
        <w:rPr>
          <w:b/>
          <w:bCs/>
          <w:color w:val="000000"/>
          <w:sz w:val="27"/>
          <w:szCs w:val="27"/>
        </w:rPr>
        <w:br/>
        <w:t>  d) de logopedisten;</w:t>
      </w:r>
      <w:r>
        <w:rPr>
          <w:b/>
          <w:bCs/>
          <w:color w:val="000000"/>
          <w:sz w:val="27"/>
          <w:szCs w:val="27"/>
        </w:rPr>
        <w:br/>
        <w:t>  e) de hulpverleners-ambulanciers met een ervaring van minstens twee jaar; en</w:t>
      </w:r>
      <w:r>
        <w:rPr>
          <w:b/>
          <w:bCs/>
          <w:color w:val="000000"/>
          <w:sz w:val="27"/>
          <w:szCs w:val="27"/>
        </w:rPr>
        <w:br/>
        <w:t>  f) de mondhygiënisten;</w:t>
      </w:r>
      <w:r>
        <w:rPr>
          <w:b/>
          <w:bCs/>
          <w:color w:val="000000"/>
          <w:sz w:val="27"/>
          <w:szCs w:val="27"/>
        </w:rPr>
        <w:br/>
        <w:t>  2° ze worden toevertrouwd door een arts;</w:t>
      </w:r>
      <w:r>
        <w:rPr>
          <w:b/>
          <w:bCs/>
          <w:color w:val="000000"/>
          <w:sz w:val="27"/>
          <w:szCs w:val="27"/>
        </w:rPr>
        <w:br/>
        <w:t>  3° wanneer het gaat om een student zoals bedoeld in 1°, worden ze verricht onder toezicht van een arts of een verpleegkundige;</w:t>
      </w:r>
      <w:r>
        <w:rPr>
          <w:b/>
          <w:bCs/>
          <w:color w:val="000000"/>
          <w:sz w:val="27"/>
          <w:szCs w:val="27"/>
        </w:rPr>
        <w:br/>
        <w:t>  4° ze worden verricht door de personen bedoeld in 1° die een specifieke opleiding hebben gevolgd, verstrekt door een arts, om deze te kunnen uitvoeren binnen de dienst waar ze deze staalafnames en collecties verrichten. Deze opleiding omvat minstens de aspecten die verband houden met de procedures voor het uitvoeren van de medische handeling, de behandeling en de opslag van de genomen staalafnames en collecties, evenals de procedures voor de bescherming van het personeel en de begeleiding van de patiënt. De personen die de bedoelde staalafnames en collecties uitvoeren, moeten te allen tijde kunnen bewijzen dat ze deze specifieke opleiding gevolgd hebben.</w:t>
      </w:r>
      <w:r>
        <w:rPr>
          <w:b/>
          <w:bCs/>
          <w:color w:val="000000"/>
          <w:sz w:val="27"/>
          <w:szCs w:val="27"/>
        </w:rPr>
        <w:br/>
      </w:r>
      <w:r>
        <w:rPr>
          <w:b/>
          <w:bCs/>
          <w:color w:val="000000"/>
          <w:sz w:val="27"/>
          <w:szCs w:val="27"/>
        </w:rPr>
        <w:br/>
        <w:t>  </w:t>
      </w:r>
      <w:bookmarkStart w:id="10" w:name="Art.19"/>
      <w:r>
        <w:fldChar w:fldCharType="begin"/>
      </w:r>
      <w:r>
        <w:instrText xml:space="preserve"> HYPERLINK "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\l "Art.18" </w:instrText>
      </w:r>
      <w:r>
        <w:fldChar w:fldCharType="separate"/>
      </w:r>
      <w:r>
        <w:rPr>
          <w:rStyle w:val="Hyperlink"/>
          <w:b/>
          <w:bCs/>
          <w:sz w:val="27"/>
          <w:szCs w:val="27"/>
        </w:rPr>
        <w:t>Art.</w:t>
      </w:r>
      <w:r>
        <w:fldChar w:fldCharType="end"/>
      </w:r>
      <w:bookmarkEnd w:id="10"/>
      <w:r>
        <w:rPr>
          <w:b/>
          <w:bCs/>
          <w:color w:val="000000"/>
          <w:sz w:val="27"/>
          <w:szCs w:val="27"/>
        </w:rPr>
        <w:t> 19. Dit hoofdstuk treedt in werking de dag waarop deze wet in het Belgisch Staatsblad wordt bekendgemaakt en treedt buiten werking op 1 juli 2021.</w:t>
      </w:r>
      <w:r>
        <w:rPr>
          <w:b/>
          <w:bCs/>
          <w:color w:val="000000"/>
          <w:sz w:val="27"/>
          <w:szCs w:val="27"/>
        </w:rPr>
        <w:br/>
        <w:t>  De Koning kan, na overleg in de Ministerraad, de werking van dit hoofdstuk voor maximaal 6 maanden verlengen.</w:t>
      </w:r>
    </w:p>
    <w:sectPr w:rsidR="00321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E1"/>
    <w:rsid w:val="00321CE1"/>
    <w:rsid w:val="00543B16"/>
    <w:rsid w:val="0063521C"/>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52AA"/>
  <w15:chartTrackingRefBased/>
  <w15:docId w15:val="{5BBB277D-CE61-4021-B01E-18E268AF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21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 Id="rId11"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 Id="rId5"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 Id="rId10"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 Id="rId4"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 Id="rId9" Type="http://schemas.openxmlformats.org/officeDocument/2006/relationships/hyperlink" Target="http://www.ejustice.just.fgov.be/cgi_loi/loi_a1.pl?imgcn.x=30&amp;imgcn.y=8&amp;DETAIL=2020110404%2FN&amp;caller=list&amp;row_id=1&amp;numero=5&amp;rech=6&amp;cn=2020110404&amp;table_name=WET&amp;nm=2020204643&amp;la=N&amp;chercher=t&amp;dt=WET&amp;language=nl&amp;choix1=EN&amp;choix2=EN&amp;fromtab=wet_all&amp;nl=n&amp;sql=dt+contains++%27WET%27+and+dd+%3D+date%272020-11-04%27and+actif+%3D+%27Y%27&amp;ddda=2020&amp;tri=dd+AS+RANK+&amp;trier=afkondiging&amp;dddj=04&amp;dddm=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2302</Words>
  <Characters>12663</Characters>
  <Application>Microsoft Office Word</Application>
  <DocSecurity>4</DocSecurity>
  <Lines>105</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2021-06-30T12:58:00Z</dcterms:created>
  <dcterms:modified xsi:type="dcterms:W3CDTF">2021-06-30T12:58:00Z</dcterms:modified>
</cp:coreProperties>
</file>