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0635C" w14:textId="77777777" w:rsidR="002F2B79" w:rsidRPr="00AE1F2D" w:rsidRDefault="002F2B79" w:rsidP="002F2B79">
      <w:pPr>
        <w:spacing w:after="360"/>
        <w:rPr>
          <w:rFonts w:ascii="Arial" w:hAnsi="Arial"/>
          <w:sz w:val="22"/>
          <w:szCs w:val="22"/>
          <w:lang w:val="nl-B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107CB" w:rsidRPr="00683224" w14:paraId="2DB75B22" w14:textId="77777777">
        <w:tc>
          <w:tcPr>
            <w:tcW w:w="9606" w:type="dxa"/>
          </w:tcPr>
          <w:p w14:paraId="21A0B7C9" w14:textId="77777777" w:rsidR="00541DBA" w:rsidRPr="00AE1F2D" w:rsidRDefault="002107CB" w:rsidP="00324991">
            <w:pPr>
              <w:jc w:val="both"/>
              <w:rPr>
                <w:rFonts w:ascii="Arial" w:hAnsi="Arial"/>
                <w:sz w:val="22"/>
                <w:lang w:val="nl-BE"/>
              </w:rPr>
            </w:pPr>
            <w:r w:rsidRPr="00AE1F2D">
              <w:rPr>
                <w:rFonts w:ascii="Arial" w:hAnsi="Arial"/>
                <w:b/>
                <w:sz w:val="22"/>
                <w:u w:val="single"/>
                <w:lang w:val="nl-BE"/>
              </w:rPr>
              <w:t>BETREFT</w:t>
            </w:r>
            <w:r w:rsidRPr="00AE1F2D">
              <w:rPr>
                <w:rFonts w:ascii="Arial" w:hAnsi="Arial"/>
                <w:b/>
                <w:sz w:val="22"/>
                <w:lang w:val="nl-BE"/>
              </w:rPr>
              <w:t xml:space="preserve"> : </w:t>
            </w:r>
            <w:r w:rsidR="00BF34A0" w:rsidRPr="00AE1F2D">
              <w:rPr>
                <w:rFonts w:ascii="Arial" w:hAnsi="Arial"/>
                <w:b/>
                <w:sz w:val="22"/>
                <w:lang w:val="nl-BE"/>
              </w:rPr>
              <w:tab/>
            </w:r>
            <w:r w:rsidR="000B1B6C" w:rsidRPr="00713921">
              <w:rPr>
                <w:rFonts w:ascii="Arial" w:eastAsia="Calibri" w:hAnsi="Arial" w:cs="Arial"/>
                <w:b/>
                <w:lang w:val="nl-BE"/>
              </w:rPr>
              <w:t>Vereenvoudiging van de procedures betreffende farmaceutische verstrekkingen – ontwerp van Koninklijk besluit tot vaststelling van de procedures, termijnen en voorwaarden waaronder de verplichte verzekering voor geneeskundige verzorging en uitkeringen tegemoetkomt in de kosten van de farmaceutische verstrekkingen bedoeld in artikel 34, eerste lid, 5° a), 19°, 20° en 20bis  van de wet betreffende de verplichte verzekering voor geneeskundige verzorging en uitkeringen, gecoördineerd op 14 juli 1994 .</w:t>
            </w:r>
          </w:p>
        </w:tc>
      </w:tr>
    </w:tbl>
    <w:p w14:paraId="6E2FFB45" w14:textId="77777777" w:rsidR="00440D1A" w:rsidRPr="00AE1F2D" w:rsidRDefault="00440D1A">
      <w:pPr>
        <w:rPr>
          <w:rFonts w:ascii="Arial" w:hAnsi="Arial"/>
          <w:sz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107CB" w:rsidRPr="00DB2649" w14:paraId="1E49898D" w14:textId="77777777" w:rsidTr="005E0CC9">
        <w:trPr>
          <w:trHeight w:val="1587"/>
        </w:trPr>
        <w:tc>
          <w:tcPr>
            <w:tcW w:w="9606" w:type="dxa"/>
          </w:tcPr>
          <w:p w14:paraId="41C770B1" w14:textId="77777777" w:rsidR="00324991" w:rsidRPr="00324991" w:rsidRDefault="00324991" w:rsidP="00324991">
            <w:pPr>
              <w:jc w:val="both"/>
              <w:rPr>
                <w:rFonts w:ascii="Arial" w:hAnsi="Arial"/>
                <w:b/>
                <w:sz w:val="22"/>
                <w:lang w:val="nl-BE"/>
              </w:rPr>
            </w:pPr>
            <w:r w:rsidRPr="00324991">
              <w:rPr>
                <w:rFonts w:ascii="Arial" w:hAnsi="Arial"/>
                <w:b/>
                <w:sz w:val="22"/>
                <w:u w:val="single"/>
                <w:lang w:val="nl-BE"/>
              </w:rPr>
              <w:t>INHOUD</w:t>
            </w:r>
            <w:r w:rsidRPr="00324991">
              <w:rPr>
                <w:rFonts w:ascii="Arial" w:hAnsi="Arial"/>
                <w:b/>
                <w:sz w:val="22"/>
                <w:lang w:val="nl-BE"/>
              </w:rPr>
              <w:t xml:space="preserve">: </w:t>
            </w:r>
          </w:p>
          <w:p w14:paraId="1B3AFC10" w14:textId="77777777" w:rsidR="000B1B6C" w:rsidRPr="007D5545" w:rsidRDefault="000B1B6C" w:rsidP="000B1B6C">
            <w:pPr>
              <w:rPr>
                <w:rFonts w:ascii="Arial" w:eastAsia="Calibri" w:hAnsi="Arial" w:cs="Arial"/>
                <w:lang w:val="nl-BE"/>
              </w:rPr>
            </w:pPr>
            <w:r w:rsidRPr="007D5545">
              <w:rPr>
                <w:rFonts w:ascii="Arial" w:eastAsia="Calibri" w:hAnsi="Arial" w:cs="Arial"/>
                <w:lang w:val="nl-BE"/>
              </w:rPr>
              <w:t>Ten gevolge de publicatie in het BS van 01.07.2016 van de wet van 22 juni 2016 houdende diverse bepalingen inzake gezondheid, wordt er een nieuwe beslissingsboom opgesteld om beter te beantwoorden aan de bepalingen van sectie 2 van die wet.</w:t>
            </w:r>
          </w:p>
          <w:p w14:paraId="40E4A969" w14:textId="77777777" w:rsidR="000B1B6C" w:rsidRPr="007D5545" w:rsidRDefault="000B1B6C" w:rsidP="000B1B6C">
            <w:pPr>
              <w:rPr>
                <w:rFonts w:ascii="Arial" w:eastAsia="Calibri" w:hAnsi="Arial" w:cs="Arial"/>
                <w:lang w:val="nl-BE"/>
              </w:rPr>
            </w:pPr>
          </w:p>
          <w:p w14:paraId="1F43F272" w14:textId="77777777" w:rsidR="000B1B6C" w:rsidRPr="007D5545" w:rsidRDefault="000B1B6C" w:rsidP="000B1B6C">
            <w:pPr>
              <w:rPr>
                <w:rFonts w:ascii="Arial" w:eastAsia="Calibri" w:hAnsi="Arial" w:cs="Arial"/>
                <w:lang w:val="nl-BE"/>
              </w:rPr>
            </w:pPr>
            <w:r w:rsidRPr="007D5545">
              <w:rPr>
                <w:rFonts w:ascii="Arial" w:hAnsi="Arial"/>
                <w:lang w:val="nl-BE"/>
              </w:rPr>
              <w:t>Hieronder volgen de principes</w:t>
            </w:r>
            <w:r w:rsidRPr="007D5545">
              <w:rPr>
                <w:rFonts w:ascii="Arial" w:eastAsia="Calibri" w:hAnsi="Arial" w:cs="Arial"/>
                <w:lang w:val="nl-BE"/>
              </w:rPr>
              <w:t>:</w:t>
            </w:r>
          </w:p>
          <w:p w14:paraId="0CB8B5F7" w14:textId="77777777" w:rsidR="000B1B6C" w:rsidRPr="007D5545" w:rsidRDefault="000B1B6C" w:rsidP="000B1B6C">
            <w:pPr>
              <w:rPr>
                <w:rFonts w:ascii="Arial" w:eastAsia="Calibri" w:hAnsi="Arial" w:cs="Arial"/>
                <w:lang w:val="nl-BE"/>
              </w:rPr>
            </w:pPr>
          </w:p>
          <w:p w14:paraId="25298133" w14:textId="77777777" w:rsidR="000B1B6C" w:rsidRPr="007D5545" w:rsidRDefault="000B1B6C" w:rsidP="000B1B6C">
            <w:pPr>
              <w:tabs>
                <w:tab w:val="left" w:pos="169"/>
              </w:tabs>
              <w:rPr>
                <w:rFonts w:ascii="Arial" w:eastAsia="Calibri" w:hAnsi="Arial" w:cs="Arial"/>
                <w:lang w:val="nl-BE"/>
              </w:rPr>
            </w:pPr>
            <w:r w:rsidRPr="007D5545">
              <w:rPr>
                <w:rFonts w:ascii="Arial" w:eastAsia="Calibri" w:hAnsi="Arial" w:cs="Arial"/>
                <w:lang w:val="nl-BE"/>
              </w:rPr>
              <w:t>-</w:t>
            </w:r>
            <w:r w:rsidRPr="007D5545">
              <w:rPr>
                <w:rFonts w:ascii="Arial" w:eastAsia="Calibri" w:hAnsi="Arial" w:cs="Arial"/>
                <w:lang w:val="nl-BE"/>
              </w:rPr>
              <w:tab/>
            </w:r>
            <w:proofErr w:type="spellStart"/>
            <w:r w:rsidRPr="007D5545">
              <w:rPr>
                <w:rFonts w:ascii="Arial" w:eastAsia="Calibri" w:hAnsi="Arial" w:cs="Arial"/>
                <w:u w:val="single"/>
                <w:lang w:val="nl-BE"/>
              </w:rPr>
              <w:t>Commission</w:t>
            </w:r>
            <w:proofErr w:type="spellEnd"/>
            <w:r w:rsidRPr="007D5545">
              <w:rPr>
                <w:rFonts w:ascii="Calibri" w:eastAsia="Calibri" w:hAnsi="Calibri" w:cs="Arial"/>
                <w:vertAlign w:val="superscript"/>
                <w:lang w:val="nl-BE"/>
              </w:rPr>
              <w:t>①</w:t>
            </w:r>
            <w:r w:rsidRPr="007D5545">
              <w:rPr>
                <w:rFonts w:ascii="Arial" w:eastAsia="Calibri" w:hAnsi="Arial" w:cs="Arial"/>
                <w:lang w:val="nl-BE"/>
              </w:rPr>
              <w:t> :</w:t>
            </w:r>
            <w:r w:rsidRPr="007D5545">
              <w:rPr>
                <w:rFonts w:ascii="Arial" w:eastAsia="Calibri" w:hAnsi="Arial" w:cs="Arial"/>
                <w:lang w:val="nl-BE"/>
              </w:rPr>
              <w:tab/>
            </w:r>
          </w:p>
          <w:p w14:paraId="444E4B68" w14:textId="77777777" w:rsidR="000B1B6C" w:rsidRPr="007D5545" w:rsidRDefault="000B1B6C" w:rsidP="000B1B6C">
            <w:pPr>
              <w:rPr>
                <w:rFonts w:ascii="Arial" w:eastAsia="Calibri" w:hAnsi="Arial" w:cs="Arial"/>
                <w:lang w:val="nl-BE"/>
              </w:rPr>
            </w:pPr>
            <w:r w:rsidRPr="007D5545">
              <w:rPr>
                <w:rFonts w:ascii="Arial" w:hAnsi="Arial"/>
                <w:lang w:val="nl-BE"/>
              </w:rPr>
              <w:t xml:space="preserve">Er zal één enkele </w:t>
            </w:r>
            <w:r w:rsidRPr="007D5545">
              <w:rPr>
                <w:rFonts w:ascii="Arial" w:eastAsia="Calibri" w:hAnsi="Arial" w:cs="Arial"/>
                <w:lang w:val="nl-BE"/>
              </w:rPr>
              <w:t xml:space="preserve">Commissie, met name </w:t>
            </w:r>
            <w:r w:rsidRPr="007D5545">
              <w:rPr>
                <w:rFonts w:ascii="Arial" w:hAnsi="Arial" w:cs="Arial"/>
                <w:spacing w:val="-2"/>
                <w:lang w:val="nl-BE" w:eastAsia="nl-NL"/>
              </w:rPr>
              <w:t>de Commissie voor terugbetaling van farmaceutische producten en verstrekkingen</w:t>
            </w:r>
            <w:r w:rsidRPr="007D5545">
              <w:rPr>
                <w:rFonts w:ascii="Arial" w:eastAsia="Calibri" w:hAnsi="Arial" w:cs="Arial"/>
                <w:lang w:val="nl-BE"/>
              </w:rPr>
              <w:t xml:space="preserve"> (CTFPG), </w:t>
            </w:r>
            <w:r w:rsidRPr="007D5545">
              <w:rPr>
                <w:rFonts w:ascii="Arial" w:hAnsi="Arial"/>
                <w:lang w:val="nl-BE"/>
              </w:rPr>
              <w:t>bevoegd zijn voor de</w:t>
            </w:r>
            <w:r w:rsidRPr="007D5545">
              <w:rPr>
                <w:rFonts w:ascii="Arial" w:eastAsia="Calibri" w:hAnsi="Arial" w:cs="Arial"/>
                <w:lang w:val="nl-BE"/>
              </w:rPr>
              <w:t xml:space="preserve"> producten en vertrekkingen betreffende </w:t>
            </w:r>
            <w:r w:rsidRPr="007D5545">
              <w:rPr>
                <w:rFonts w:ascii="Arial" w:hAnsi="Arial"/>
                <w:lang w:val="nl-BE"/>
              </w:rPr>
              <w:t xml:space="preserve">de niet implanteerbare medische hulpmiddelen, capillaire protheses, magistrale bereidingen en medische voeding </w:t>
            </w:r>
            <w:r w:rsidRPr="007D5545">
              <w:rPr>
                <w:rFonts w:ascii="Arial" w:eastAsia="Calibri" w:hAnsi="Arial" w:cs="Arial"/>
                <w:lang w:val="nl-BE"/>
              </w:rPr>
              <w:t>(met uitzondering van bepaalde producten voor bijzondere voeding (KB van 8 november1998) en b</w:t>
            </w:r>
            <w:r w:rsidRPr="007D5545">
              <w:rPr>
                <w:rFonts w:ascii="Arial" w:hAnsi="Arial" w:cs="Arial"/>
                <w:lang w:val="nl-BE"/>
              </w:rPr>
              <w:t>ijzondere voeding die toegediend worden aan kinderen met chronische nierinsufficiëntie (KB van 4 mei 2009).</w:t>
            </w:r>
          </w:p>
          <w:p w14:paraId="0AAFB25F" w14:textId="77777777" w:rsidR="000B1B6C" w:rsidRPr="007D5545" w:rsidRDefault="000B1B6C" w:rsidP="000B1B6C">
            <w:pPr>
              <w:tabs>
                <w:tab w:val="left" w:pos="169"/>
              </w:tabs>
              <w:rPr>
                <w:rFonts w:ascii="Arial" w:eastAsia="Calibri" w:hAnsi="Arial" w:cs="Arial"/>
                <w:lang w:val="nl-BE"/>
              </w:rPr>
            </w:pPr>
          </w:p>
          <w:p w14:paraId="115A94F8" w14:textId="77777777" w:rsidR="000B1B6C" w:rsidRPr="007D5545" w:rsidRDefault="000B1B6C" w:rsidP="000B1B6C">
            <w:pPr>
              <w:tabs>
                <w:tab w:val="left" w:pos="169"/>
              </w:tabs>
              <w:rPr>
                <w:rFonts w:ascii="Arial" w:eastAsia="Calibri" w:hAnsi="Arial" w:cs="Arial"/>
                <w:lang w:val="nl-BE"/>
              </w:rPr>
            </w:pPr>
            <w:r w:rsidRPr="007D5545">
              <w:rPr>
                <w:rFonts w:ascii="Arial" w:eastAsia="Calibri" w:hAnsi="Arial" w:cs="Arial"/>
                <w:lang w:val="nl-BE"/>
              </w:rPr>
              <w:t>-</w:t>
            </w:r>
            <w:r w:rsidRPr="007D5545">
              <w:rPr>
                <w:rFonts w:ascii="Arial" w:eastAsia="Calibri" w:hAnsi="Arial" w:cs="Arial"/>
                <w:lang w:val="nl-BE"/>
              </w:rPr>
              <w:tab/>
            </w:r>
            <w:r w:rsidRPr="007D5545">
              <w:rPr>
                <w:rFonts w:ascii="Arial" w:eastAsia="Calibri" w:hAnsi="Arial" w:cs="Arial"/>
                <w:u w:val="single"/>
                <w:lang w:val="nl-BE"/>
              </w:rPr>
              <w:t>Procedure</w:t>
            </w:r>
            <w:r w:rsidRPr="007D5545">
              <w:rPr>
                <w:rFonts w:ascii="Arial" w:eastAsia="Calibri" w:hAnsi="Arial" w:cs="Arial"/>
                <w:lang w:val="nl-BE"/>
              </w:rPr>
              <w:t> :</w:t>
            </w:r>
          </w:p>
          <w:p w14:paraId="5B11B93F" w14:textId="77777777" w:rsidR="000B1B6C" w:rsidRPr="007D5545" w:rsidRDefault="000B1B6C" w:rsidP="000B1B6C">
            <w:pPr>
              <w:tabs>
                <w:tab w:val="left" w:pos="169"/>
              </w:tabs>
              <w:rPr>
                <w:rFonts w:ascii="Arial" w:eastAsia="Calibri" w:hAnsi="Arial" w:cs="Arial"/>
                <w:lang w:val="nl-BE"/>
              </w:rPr>
            </w:pPr>
            <w:r w:rsidRPr="007D5545">
              <w:rPr>
                <w:rFonts w:ascii="Arial" w:eastAsia="Calibri" w:hAnsi="Arial" w:cs="Arial"/>
                <w:lang w:val="nl-BE"/>
              </w:rPr>
              <w:tab/>
            </w:r>
            <w:r w:rsidRPr="007D5545">
              <w:rPr>
                <w:rFonts w:ascii="Arial" w:hAnsi="Arial"/>
                <w:lang w:val="nl-BE"/>
              </w:rPr>
              <w:t xml:space="preserve">Er zullen 3 soorten aanvragen tot aanvaarding van de vergoedbaarheid en 2 types van </w:t>
            </w:r>
            <w:r w:rsidRPr="007D5545">
              <w:rPr>
                <w:rFonts w:ascii="Arial" w:hAnsi="Arial"/>
                <w:lang w:val="nl-BE"/>
              </w:rPr>
              <w:tab/>
              <w:t>procedures zijn</w:t>
            </w:r>
            <w:r w:rsidRPr="007D5545">
              <w:rPr>
                <w:rFonts w:ascii="Arial" w:eastAsia="Calibri" w:hAnsi="Arial" w:cs="Arial"/>
                <w:lang w:val="nl-BE"/>
              </w:rPr>
              <w:t>:</w:t>
            </w:r>
          </w:p>
          <w:p w14:paraId="51FC86D8" w14:textId="77777777" w:rsidR="000B1B6C" w:rsidRPr="007D5545" w:rsidRDefault="000B1B6C" w:rsidP="000B1B6C">
            <w:pPr>
              <w:numPr>
                <w:ilvl w:val="0"/>
                <w:numId w:val="18"/>
              </w:numPr>
              <w:tabs>
                <w:tab w:val="left" w:pos="169"/>
              </w:tabs>
              <w:ind w:right="-108"/>
              <w:contextualSpacing/>
              <w:rPr>
                <w:rFonts w:ascii="Arial" w:eastAsia="Calibri" w:hAnsi="Arial" w:cs="Arial"/>
                <w:lang w:val="nl-BE"/>
              </w:rPr>
            </w:pPr>
            <w:r w:rsidRPr="007D5545">
              <w:rPr>
                <w:rFonts w:ascii="Arial" w:hAnsi="Arial"/>
                <w:lang w:val="nl-BE"/>
              </w:rPr>
              <w:t xml:space="preserve">Administratieve dossiers </w:t>
            </w:r>
            <w:r w:rsidRPr="007D5545">
              <w:rPr>
                <w:rFonts w:ascii="Arial" w:eastAsia="Calibri" w:hAnsi="Arial" w:cs="Arial"/>
                <w:sz w:val="18"/>
                <w:szCs w:val="18"/>
                <w:lang w:val="nl-BE"/>
              </w:rPr>
              <w:t>(</w:t>
            </w:r>
            <w:proofErr w:type="spellStart"/>
            <w:r w:rsidRPr="007D5545">
              <w:rPr>
                <w:rFonts w:ascii="Arial" w:eastAsia="Calibri" w:hAnsi="Arial" w:cs="Arial"/>
                <w:sz w:val="18"/>
                <w:szCs w:val="18"/>
                <w:lang w:val="nl-BE"/>
              </w:rPr>
              <w:t>bvb</w:t>
            </w:r>
            <w:proofErr w:type="spellEnd"/>
            <w:r w:rsidRPr="007D5545">
              <w:rPr>
                <w:rFonts w:ascii="Arial" w:eastAsia="Calibri" w:hAnsi="Arial" w:cs="Arial"/>
                <w:sz w:val="18"/>
                <w:szCs w:val="18"/>
                <w:lang w:val="nl-BE"/>
              </w:rPr>
              <w:t xml:space="preserve">: aanvaarding van een nieuwe smaak van een reeds </w:t>
            </w:r>
            <w:proofErr w:type="spellStart"/>
            <w:r w:rsidRPr="007D5545">
              <w:rPr>
                <w:rFonts w:ascii="Arial" w:eastAsia="Calibri" w:hAnsi="Arial" w:cs="Arial"/>
                <w:sz w:val="18"/>
                <w:szCs w:val="18"/>
                <w:lang w:val="nl-BE"/>
              </w:rPr>
              <w:t>vergoedbaar</w:t>
            </w:r>
            <w:proofErr w:type="spellEnd"/>
            <w:r w:rsidRPr="007D5545">
              <w:rPr>
                <w:rFonts w:ascii="Arial" w:eastAsia="Calibri" w:hAnsi="Arial" w:cs="Arial"/>
                <w:sz w:val="18"/>
                <w:szCs w:val="18"/>
                <w:lang w:val="nl-BE"/>
              </w:rPr>
              <w:t xml:space="preserve"> dieetvoeding)</w:t>
            </w:r>
          </w:p>
          <w:p w14:paraId="5FCDE7F4" w14:textId="77777777" w:rsidR="000B1B6C" w:rsidRPr="007D5545" w:rsidRDefault="000B1B6C" w:rsidP="000B1B6C">
            <w:pPr>
              <w:numPr>
                <w:ilvl w:val="0"/>
                <w:numId w:val="18"/>
              </w:numPr>
              <w:tabs>
                <w:tab w:val="left" w:pos="169"/>
              </w:tabs>
              <w:contextualSpacing/>
              <w:rPr>
                <w:rFonts w:ascii="Arial" w:eastAsia="Calibri" w:hAnsi="Arial" w:cs="Arial"/>
                <w:lang w:val="nl-BE"/>
              </w:rPr>
            </w:pPr>
            <w:r w:rsidRPr="007D5545">
              <w:rPr>
                <w:rFonts w:ascii="Arial" w:hAnsi="Arial"/>
                <w:lang w:val="nl-BE"/>
              </w:rPr>
              <w:t xml:space="preserve">Semi-administratieve dossiers </w:t>
            </w:r>
            <w:r w:rsidRPr="007D5545">
              <w:rPr>
                <w:rFonts w:ascii="Arial" w:eastAsia="Calibri" w:hAnsi="Arial" w:cs="Arial"/>
                <w:sz w:val="18"/>
                <w:szCs w:val="18"/>
                <w:lang w:val="nl-BE"/>
              </w:rPr>
              <w:t>(</w:t>
            </w:r>
            <w:proofErr w:type="spellStart"/>
            <w:r w:rsidRPr="007D5545">
              <w:rPr>
                <w:rFonts w:ascii="Arial" w:eastAsia="Calibri" w:hAnsi="Arial" w:cs="Arial"/>
                <w:sz w:val="18"/>
                <w:szCs w:val="18"/>
                <w:lang w:val="nl-BE"/>
              </w:rPr>
              <w:t>bvb</w:t>
            </w:r>
            <w:proofErr w:type="spellEnd"/>
            <w:r w:rsidRPr="007D5545">
              <w:rPr>
                <w:rFonts w:ascii="Arial" w:eastAsia="Calibri" w:hAnsi="Arial" w:cs="Arial"/>
                <w:sz w:val="18"/>
                <w:szCs w:val="18"/>
                <w:lang w:val="nl-BE"/>
              </w:rPr>
              <w:t xml:space="preserve"> : nieuwe verpakking van een reeds </w:t>
            </w:r>
            <w:proofErr w:type="spellStart"/>
            <w:r w:rsidRPr="007D5545">
              <w:rPr>
                <w:rFonts w:ascii="Arial" w:eastAsia="Calibri" w:hAnsi="Arial" w:cs="Arial"/>
                <w:sz w:val="18"/>
                <w:szCs w:val="18"/>
                <w:lang w:val="nl-BE"/>
              </w:rPr>
              <w:t>vergoedbaar</w:t>
            </w:r>
            <w:proofErr w:type="spellEnd"/>
            <w:r w:rsidRPr="007D5545">
              <w:rPr>
                <w:rFonts w:ascii="Arial" w:eastAsia="Calibri" w:hAnsi="Arial" w:cs="Arial"/>
                <w:sz w:val="18"/>
                <w:szCs w:val="18"/>
                <w:lang w:val="nl-BE"/>
              </w:rPr>
              <w:t xml:space="preserve"> product)</w:t>
            </w:r>
          </w:p>
          <w:p w14:paraId="79487386" w14:textId="77777777" w:rsidR="000B1B6C" w:rsidRPr="007D5545" w:rsidRDefault="000B1B6C" w:rsidP="000B1B6C">
            <w:pPr>
              <w:numPr>
                <w:ilvl w:val="0"/>
                <w:numId w:val="18"/>
              </w:numPr>
              <w:tabs>
                <w:tab w:val="left" w:pos="169"/>
              </w:tabs>
              <w:contextualSpacing/>
              <w:rPr>
                <w:rFonts w:ascii="Arial" w:eastAsia="Calibri" w:hAnsi="Arial" w:cs="Arial"/>
                <w:lang w:val="fr-BE"/>
              </w:rPr>
            </w:pPr>
            <w:r w:rsidRPr="007D5545">
              <w:rPr>
                <w:rFonts w:ascii="Arial" w:hAnsi="Arial"/>
                <w:lang w:val="nl-BE"/>
              </w:rPr>
              <w:t>Dossiers met een meerwaarde</w:t>
            </w:r>
          </w:p>
          <w:p w14:paraId="6B84CD7E" w14:textId="77777777" w:rsidR="000B1B6C" w:rsidRPr="007D5545" w:rsidRDefault="000B1B6C" w:rsidP="000B1B6C">
            <w:pPr>
              <w:tabs>
                <w:tab w:val="left" w:pos="169"/>
              </w:tabs>
              <w:ind w:left="530"/>
              <w:contextualSpacing/>
              <w:rPr>
                <w:rFonts w:ascii="Arial" w:eastAsia="Calibri" w:hAnsi="Arial" w:cs="Arial"/>
                <w:lang w:val="fr-BE"/>
              </w:rPr>
            </w:pPr>
          </w:p>
          <w:p w14:paraId="60CC57AD" w14:textId="77777777" w:rsidR="000B1B6C" w:rsidRPr="007D5545" w:rsidRDefault="000B1B6C" w:rsidP="000B1B6C">
            <w:pPr>
              <w:tabs>
                <w:tab w:val="left" w:pos="736"/>
              </w:tabs>
              <w:ind w:left="311"/>
              <w:rPr>
                <w:rFonts w:ascii="Arial" w:eastAsia="Calibri" w:hAnsi="Arial" w:cs="Arial"/>
                <w:lang w:val="nl-BE"/>
              </w:rPr>
            </w:pPr>
            <w:r w:rsidRPr="007D5545">
              <w:rPr>
                <w:rFonts w:ascii="Arial" w:eastAsia="Calibri" w:hAnsi="Arial" w:cs="Arial"/>
                <w:lang w:val="nl-BE"/>
              </w:rPr>
              <w:tab/>
            </w:r>
            <w:r w:rsidRPr="007D5545">
              <w:rPr>
                <w:rFonts w:ascii="Arial" w:hAnsi="Arial"/>
                <w:i/>
                <w:lang w:val="nl-BE"/>
              </w:rPr>
              <w:t>Administratieve dossiers</w:t>
            </w:r>
            <w:r w:rsidRPr="007D5545">
              <w:rPr>
                <w:rFonts w:ascii="Arial" w:hAnsi="Arial"/>
                <w:lang w:val="nl-BE"/>
              </w:rPr>
              <w:t>: die dossiers zullen volgens de verkorte procedure behandeld worden.</w:t>
            </w:r>
          </w:p>
          <w:p w14:paraId="1A4C8043" w14:textId="77777777" w:rsidR="000B1B6C" w:rsidRPr="007D5545" w:rsidRDefault="000B1B6C" w:rsidP="000B1B6C">
            <w:pPr>
              <w:tabs>
                <w:tab w:val="left" w:pos="736"/>
              </w:tabs>
              <w:ind w:left="311"/>
              <w:rPr>
                <w:rFonts w:ascii="Arial" w:eastAsia="Calibri" w:hAnsi="Arial" w:cs="Arial"/>
                <w:lang w:val="nl-BE"/>
              </w:rPr>
            </w:pPr>
            <w:r w:rsidRPr="007D5545">
              <w:rPr>
                <w:rFonts w:ascii="Arial" w:eastAsia="Calibri" w:hAnsi="Arial" w:cs="Arial"/>
                <w:lang w:val="nl-BE"/>
              </w:rPr>
              <w:tab/>
              <w:t xml:space="preserve">Voor deze dossiers, zal het secretariaat de evaluatie van de aanvraag en de voorlopige </w:t>
            </w:r>
            <w:proofErr w:type="spellStart"/>
            <w:r w:rsidRPr="007D5545">
              <w:rPr>
                <w:rFonts w:ascii="Arial" w:eastAsia="Calibri" w:hAnsi="Arial" w:cs="Arial"/>
                <w:lang w:val="nl-BE"/>
              </w:rPr>
              <w:t>aanbeve</w:t>
            </w:r>
            <w:proofErr w:type="spellEnd"/>
            <w:r w:rsidR="00E05F39">
              <w:rPr>
                <w:rFonts w:ascii="Arial" w:eastAsia="Calibri" w:hAnsi="Arial" w:cs="Arial"/>
                <w:lang w:val="nl-BE"/>
              </w:rPr>
              <w:t>-</w:t>
            </w:r>
            <w:r w:rsidR="00E05F39">
              <w:rPr>
                <w:rFonts w:ascii="Arial" w:eastAsia="Calibri" w:hAnsi="Arial" w:cs="Arial"/>
                <w:lang w:val="nl-BE"/>
              </w:rPr>
              <w:tab/>
            </w:r>
            <w:proofErr w:type="spellStart"/>
            <w:r w:rsidRPr="007D5545">
              <w:rPr>
                <w:rFonts w:ascii="Arial" w:eastAsia="Calibri" w:hAnsi="Arial" w:cs="Arial"/>
                <w:lang w:val="nl-BE"/>
              </w:rPr>
              <w:t>ling</w:t>
            </w:r>
            <w:proofErr w:type="spellEnd"/>
            <w:r w:rsidRPr="007D5545">
              <w:rPr>
                <w:rFonts w:ascii="Arial" w:eastAsia="Calibri" w:hAnsi="Arial" w:cs="Arial"/>
                <w:lang w:val="nl-BE"/>
              </w:rPr>
              <w:t xml:space="preserve"> doen aan de werkgroep.</w:t>
            </w:r>
          </w:p>
          <w:p w14:paraId="03E139D9" w14:textId="77777777" w:rsidR="000B1B6C" w:rsidRPr="007D5545" w:rsidRDefault="000B1B6C" w:rsidP="000B1B6C">
            <w:pPr>
              <w:tabs>
                <w:tab w:val="left" w:pos="736"/>
              </w:tabs>
              <w:ind w:left="311"/>
              <w:rPr>
                <w:rFonts w:ascii="Arial" w:eastAsia="Calibri" w:hAnsi="Arial" w:cs="Arial"/>
                <w:lang w:val="nl-BE"/>
              </w:rPr>
            </w:pPr>
          </w:p>
          <w:p w14:paraId="7274F373" w14:textId="77777777" w:rsidR="000B1B6C" w:rsidRPr="007D5545" w:rsidRDefault="000B1B6C" w:rsidP="000B1B6C">
            <w:pPr>
              <w:tabs>
                <w:tab w:val="left" w:pos="709"/>
              </w:tabs>
              <w:rPr>
                <w:rFonts w:ascii="Arial" w:hAnsi="Arial"/>
                <w:i/>
                <w:lang w:val="nl-BE"/>
              </w:rPr>
            </w:pPr>
            <w:r w:rsidRPr="007D5545">
              <w:rPr>
                <w:rFonts w:ascii="Arial" w:eastAsia="Calibri" w:hAnsi="Arial" w:cs="Arial"/>
                <w:lang w:val="nl-BE"/>
              </w:rPr>
              <w:tab/>
            </w:r>
            <w:r w:rsidRPr="007D5545">
              <w:rPr>
                <w:rFonts w:ascii="Arial" w:hAnsi="Arial"/>
                <w:i/>
                <w:lang w:val="nl-BE"/>
              </w:rPr>
              <w:t>Semi-administratieve dossiers en dossiers met een meerwaarde</w:t>
            </w:r>
          </w:p>
          <w:p w14:paraId="0BAC76C5" w14:textId="77777777" w:rsidR="000B1B6C" w:rsidRPr="007D5545" w:rsidRDefault="000B1B6C" w:rsidP="000B1B6C">
            <w:pPr>
              <w:tabs>
                <w:tab w:val="left" w:pos="709"/>
              </w:tabs>
              <w:rPr>
                <w:rFonts w:ascii="Arial" w:hAnsi="Arial"/>
                <w:lang w:val="nl-BE"/>
              </w:rPr>
            </w:pPr>
            <w:r w:rsidRPr="007D5545">
              <w:rPr>
                <w:rFonts w:ascii="Arial" w:hAnsi="Arial"/>
                <w:lang w:val="nl-BE"/>
              </w:rPr>
              <w:tab/>
              <w:t xml:space="preserve">Een Bureau zal een pre-analyse maken van de dossiers voor aanvragen tot aanvaarding van de </w:t>
            </w:r>
            <w:r w:rsidRPr="007D5545">
              <w:rPr>
                <w:rFonts w:ascii="Arial" w:hAnsi="Arial"/>
                <w:lang w:val="nl-BE"/>
              </w:rPr>
              <w:tab/>
              <w:t xml:space="preserve">vergoedbaarheid die bij het secretariaat ingediend zijn en deskundigen (interne en/of externe?) </w:t>
            </w:r>
            <w:r w:rsidRPr="007D5545">
              <w:rPr>
                <w:rFonts w:ascii="Arial" w:hAnsi="Arial"/>
                <w:lang w:val="nl-BE"/>
              </w:rPr>
              <w:tab/>
              <w:t>aanduiden die belast worden met de evaluatie van de aanvraag.</w:t>
            </w:r>
          </w:p>
          <w:p w14:paraId="72551DEF" w14:textId="77777777" w:rsidR="000B1B6C" w:rsidRPr="007D5545" w:rsidRDefault="000B1B6C" w:rsidP="000B1B6C">
            <w:pPr>
              <w:tabs>
                <w:tab w:val="left" w:pos="169"/>
              </w:tabs>
              <w:rPr>
                <w:rFonts w:ascii="Arial" w:eastAsia="Calibri" w:hAnsi="Arial" w:cs="Arial"/>
                <w:lang w:val="nl-BE"/>
              </w:rPr>
            </w:pPr>
            <w:r w:rsidRPr="007D5545">
              <w:rPr>
                <w:rFonts w:ascii="Arial" w:hAnsi="Arial"/>
                <w:lang w:val="nl-BE"/>
              </w:rPr>
              <w:tab/>
            </w:r>
            <w:r w:rsidRPr="007D5545">
              <w:rPr>
                <w:rFonts w:ascii="Arial" w:hAnsi="Arial"/>
                <w:lang w:val="nl-BE"/>
              </w:rPr>
              <w:tab/>
              <w:t xml:space="preserve">Werkgroepen die deskundigen bevatten zullen een analyse maken van de aanvragen en </w:t>
            </w:r>
            <w:r w:rsidRPr="007D5545">
              <w:rPr>
                <w:rFonts w:ascii="Arial" w:hAnsi="Arial"/>
                <w:lang w:val="nl-BE"/>
              </w:rPr>
              <w:tab/>
            </w:r>
            <w:r w:rsidRPr="007D5545">
              <w:rPr>
                <w:rFonts w:ascii="Arial" w:hAnsi="Arial"/>
                <w:lang w:val="nl-BE"/>
              </w:rPr>
              <w:tab/>
            </w:r>
            <w:r w:rsidRPr="007D5545">
              <w:rPr>
                <w:rFonts w:ascii="Arial" w:hAnsi="Arial"/>
                <w:lang w:val="nl-BE"/>
              </w:rPr>
              <w:tab/>
            </w:r>
            <w:r w:rsidRPr="007D5545">
              <w:rPr>
                <w:rFonts w:ascii="Arial" w:hAnsi="Arial"/>
                <w:lang w:val="nl-BE"/>
              </w:rPr>
              <w:tab/>
              <w:t xml:space="preserve">aanbevelingen overmaken aan de Commissie betreffende de eventuele vergoedingsvoorwaarden </w:t>
            </w:r>
            <w:r w:rsidRPr="007D5545">
              <w:rPr>
                <w:rFonts w:ascii="Arial" w:hAnsi="Arial"/>
                <w:lang w:val="nl-BE"/>
              </w:rPr>
              <w:tab/>
            </w:r>
            <w:r w:rsidRPr="007D5545">
              <w:rPr>
                <w:rFonts w:ascii="Arial" w:hAnsi="Arial"/>
                <w:lang w:val="nl-BE"/>
              </w:rPr>
              <w:tab/>
              <w:t>van het product of de verstrekking.</w:t>
            </w:r>
          </w:p>
          <w:p w14:paraId="466A46C5" w14:textId="77777777" w:rsidR="000B1B6C" w:rsidRPr="007D5545" w:rsidRDefault="000B1B6C" w:rsidP="000B1B6C">
            <w:pPr>
              <w:tabs>
                <w:tab w:val="left" w:pos="709"/>
              </w:tabs>
              <w:rPr>
                <w:rFonts w:ascii="Arial" w:hAnsi="Arial"/>
                <w:lang w:val="nl-BE"/>
              </w:rPr>
            </w:pPr>
            <w:r w:rsidRPr="007D5545">
              <w:rPr>
                <w:rFonts w:ascii="Arial" w:hAnsi="Arial"/>
                <w:i/>
                <w:lang w:val="nl-BE"/>
              </w:rPr>
              <w:tab/>
            </w:r>
          </w:p>
          <w:p w14:paraId="7629D199" w14:textId="77777777" w:rsidR="000B1B6C" w:rsidRPr="007D5545" w:rsidRDefault="000B1B6C" w:rsidP="000B1B6C">
            <w:pPr>
              <w:tabs>
                <w:tab w:val="left" w:pos="142"/>
                <w:tab w:val="left" w:pos="284"/>
              </w:tabs>
              <w:rPr>
                <w:rFonts w:ascii="Arial" w:eastAsia="Calibri" w:hAnsi="Arial" w:cs="Arial"/>
                <w:lang w:val="nl-BE"/>
              </w:rPr>
            </w:pPr>
            <w:r w:rsidRPr="007D5545">
              <w:rPr>
                <w:rFonts w:ascii="Arial" w:eastAsia="Calibri" w:hAnsi="Arial" w:cs="Arial"/>
                <w:lang w:val="nl-BE"/>
              </w:rPr>
              <w:tab/>
            </w:r>
            <w:r w:rsidRPr="007D5545">
              <w:rPr>
                <w:rFonts w:ascii="Arial" w:eastAsia="Calibri" w:hAnsi="Arial" w:cs="Arial"/>
                <w:lang w:val="fr-BE"/>
              </w:rPr>
              <w:sym w:font="Symbol" w:char="F0B7"/>
            </w:r>
            <w:r w:rsidRPr="007D5545">
              <w:rPr>
                <w:rFonts w:ascii="Arial" w:eastAsia="Calibri" w:hAnsi="Arial" w:cs="Arial"/>
                <w:lang w:val="nl-BE"/>
              </w:rPr>
              <w:t xml:space="preserve"> </w:t>
            </w:r>
            <w:r w:rsidRPr="007D5545">
              <w:rPr>
                <w:rFonts w:ascii="Arial" w:hAnsi="Arial"/>
                <w:lang w:val="nl-BE"/>
              </w:rPr>
              <w:t xml:space="preserve">De aanpassingen van de lijst van de vergoedbare producten en prestaties </w:t>
            </w:r>
            <w:r w:rsidRPr="007D5545">
              <w:rPr>
                <w:rFonts w:ascii="Arial" w:eastAsia="Calibri" w:hAnsi="Arial" w:cs="Arial"/>
                <w:lang w:val="nl-BE"/>
              </w:rPr>
              <w:t xml:space="preserve">(de aanvaardingen en </w:t>
            </w:r>
            <w:r w:rsidRPr="007D5545">
              <w:rPr>
                <w:rFonts w:ascii="Arial" w:eastAsia="Calibri" w:hAnsi="Arial" w:cs="Arial"/>
                <w:lang w:val="nl-BE"/>
              </w:rPr>
              <w:tab/>
            </w:r>
            <w:r w:rsidRPr="007D5545">
              <w:rPr>
                <w:rFonts w:ascii="Arial" w:eastAsia="Calibri" w:hAnsi="Arial" w:cs="Arial"/>
                <w:lang w:val="nl-BE"/>
              </w:rPr>
              <w:tab/>
            </w:r>
            <w:r w:rsidRPr="007D5545">
              <w:rPr>
                <w:rFonts w:ascii="Arial" w:eastAsia="Calibri" w:hAnsi="Arial" w:cs="Arial"/>
                <w:lang w:val="nl-BE"/>
              </w:rPr>
              <w:tab/>
              <w:t xml:space="preserve">de wijzigingen van de vergoedingsvoorwaarden) </w:t>
            </w:r>
            <w:r w:rsidRPr="007D5545">
              <w:rPr>
                <w:rFonts w:ascii="Arial" w:hAnsi="Arial"/>
                <w:lang w:val="nl-BE"/>
              </w:rPr>
              <w:t xml:space="preserve">zullen via </w:t>
            </w:r>
            <w:r>
              <w:rPr>
                <w:rFonts w:ascii="Arial" w:hAnsi="Arial"/>
                <w:u w:val="single"/>
                <w:lang w:val="nl-BE"/>
              </w:rPr>
              <w:t>m</w:t>
            </w:r>
            <w:r w:rsidRPr="007D5545">
              <w:rPr>
                <w:rFonts w:ascii="Arial" w:hAnsi="Arial"/>
                <w:u w:val="single"/>
                <w:lang w:val="nl-BE"/>
              </w:rPr>
              <w:t>inisterieel</w:t>
            </w:r>
            <w:r w:rsidRPr="007D5545">
              <w:rPr>
                <w:rFonts w:ascii="Arial" w:hAnsi="Arial"/>
                <w:lang w:val="nl-BE"/>
              </w:rPr>
              <w:t xml:space="preserve"> besluit gebeuren</w:t>
            </w:r>
            <w:r w:rsidRPr="007D5545">
              <w:rPr>
                <w:rFonts w:ascii="Arial" w:eastAsia="Calibri" w:hAnsi="Arial" w:cs="Arial"/>
                <w:lang w:val="nl-BE"/>
              </w:rPr>
              <w:t xml:space="preserve"> als gevolg </w:t>
            </w:r>
            <w:r w:rsidRPr="007D5545">
              <w:rPr>
                <w:rFonts w:ascii="Arial" w:eastAsia="Calibri" w:hAnsi="Arial" w:cs="Arial"/>
                <w:lang w:val="nl-BE"/>
              </w:rPr>
              <w:tab/>
            </w:r>
            <w:r w:rsidRPr="007D5545">
              <w:rPr>
                <w:rFonts w:ascii="Arial" w:eastAsia="Calibri" w:hAnsi="Arial" w:cs="Arial"/>
                <w:lang w:val="nl-BE"/>
              </w:rPr>
              <w:tab/>
            </w:r>
            <w:r w:rsidRPr="007D5545">
              <w:rPr>
                <w:rFonts w:ascii="Arial" w:eastAsia="Calibri" w:hAnsi="Arial" w:cs="Arial"/>
                <w:lang w:val="nl-BE"/>
              </w:rPr>
              <w:tab/>
              <w:t>van de door de Minister van Sociale Zaken genomen besluiten.</w:t>
            </w:r>
          </w:p>
          <w:p w14:paraId="3D5AD936" w14:textId="77777777" w:rsidR="000B1B6C" w:rsidRPr="007D5545" w:rsidRDefault="000B1B6C" w:rsidP="000B1B6C">
            <w:pPr>
              <w:tabs>
                <w:tab w:val="left" w:pos="169"/>
                <w:tab w:val="left" w:pos="311"/>
              </w:tabs>
              <w:rPr>
                <w:rFonts w:ascii="Arial" w:eastAsia="Calibri" w:hAnsi="Arial" w:cs="Arial"/>
                <w:lang w:val="nl-BE"/>
              </w:rPr>
            </w:pPr>
          </w:p>
          <w:p w14:paraId="614BC58E" w14:textId="77777777" w:rsidR="000B1B6C" w:rsidRPr="007D5545" w:rsidRDefault="000B1B6C" w:rsidP="000B1B6C">
            <w:pPr>
              <w:tabs>
                <w:tab w:val="left" w:pos="169"/>
                <w:tab w:val="left" w:pos="323"/>
              </w:tabs>
              <w:rPr>
                <w:rFonts w:ascii="Arial" w:eastAsia="Calibri" w:hAnsi="Arial" w:cs="Arial"/>
                <w:lang w:val="nl-BE"/>
              </w:rPr>
            </w:pPr>
            <w:r w:rsidRPr="007D5545">
              <w:rPr>
                <w:rFonts w:ascii="Arial" w:eastAsia="Calibri" w:hAnsi="Arial" w:cs="Arial"/>
                <w:lang w:val="nl-BE"/>
              </w:rPr>
              <w:tab/>
            </w:r>
            <w:r w:rsidRPr="007D5545">
              <w:rPr>
                <w:rFonts w:ascii="Arial" w:eastAsia="Calibri" w:hAnsi="Arial" w:cs="Arial"/>
                <w:lang w:val="fr-BE"/>
              </w:rPr>
              <w:sym w:font="Symbol" w:char="F0B7"/>
            </w:r>
            <w:r w:rsidRPr="007D5545">
              <w:rPr>
                <w:rFonts w:ascii="Arial" w:eastAsia="Calibri" w:hAnsi="Arial" w:cs="Arial"/>
                <w:lang w:val="nl-BE"/>
              </w:rPr>
              <w:t xml:space="preserve"> </w:t>
            </w:r>
            <w:r w:rsidRPr="007D5545">
              <w:rPr>
                <w:rFonts w:ascii="Arial" w:hAnsi="Arial"/>
                <w:lang w:val="nl-BE"/>
              </w:rPr>
              <w:t xml:space="preserve">De CTFPG zal zijn voorstellen rechtstreeks aan de Minister overmaken (schrapping van het </w:t>
            </w:r>
            <w:r w:rsidRPr="007D5545">
              <w:rPr>
                <w:rFonts w:ascii="Arial" w:hAnsi="Arial"/>
                <w:lang w:val="nl-BE"/>
              </w:rPr>
              <w:tab/>
            </w:r>
            <w:r w:rsidRPr="007D5545">
              <w:rPr>
                <w:rFonts w:ascii="Arial" w:hAnsi="Arial"/>
                <w:lang w:val="nl-BE"/>
              </w:rPr>
              <w:tab/>
            </w:r>
            <w:r w:rsidRPr="007D5545">
              <w:rPr>
                <w:rFonts w:ascii="Arial" w:hAnsi="Arial"/>
                <w:lang w:val="nl-BE"/>
              </w:rPr>
              <w:tab/>
            </w:r>
            <w:r w:rsidRPr="007D5545">
              <w:rPr>
                <w:rFonts w:ascii="Arial" w:hAnsi="Arial"/>
                <w:lang w:val="nl-BE"/>
              </w:rPr>
              <w:tab/>
              <w:t xml:space="preserve">voorleggen aan de Overeenkomstencommissie apothekers-verzekeringsinstellingen (OCA), de </w:t>
            </w:r>
            <w:r w:rsidRPr="007D5545">
              <w:rPr>
                <w:rFonts w:ascii="Arial" w:hAnsi="Arial"/>
                <w:lang w:val="nl-BE"/>
              </w:rPr>
              <w:tab/>
            </w:r>
            <w:r w:rsidRPr="007D5545">
              <w:rPr>
                <w:rFonts w:ascii="Arial" w:hAnsi="Arial"/>
                <w:lang w:val="nl-BE"/>
              </w:rPr>
              <w:tab/>
            </w:r>
            <w:r w:rsidRPr="007D5545">
              <w:rPr>
                <w:rFonts w:ascii="Arial" w:hAnsi="Arial"/>
                <w:lang w:val="nl-BE"/>
              </w:rPr>
              <w:tab/>
              <w:t>Commissie voor begrotingscontrole (CBC) en het Verzekeringscomité (CGV)</w:t>
            </w:r>
          </w:p>
          <w:p w14:paraId="32E6C9BB" w14:textId="77777777" w:rsidR="000B1B6C" w:rsidRPr="007D5545" w:rsidRDefault="000B1B6C" w:rsidP="000B1B6C">
            <w:pPr>
              <w:tabs>
                <w:tab w:val="left" w:pos="169"/>
                <w:tab w:val="left" w:pos="323"/>
              </w:tabs>
              <w:rPr>
                <w:rFonts w:ascii="Arial" w:eastAsia="Calibri" w:hAnsi="Arial" w:cs="Arial"/>
                <w:lang w:val="nl-BE"/>
              </w:rPr>
            </w:pPr>
          </w:p>
          <w:p w14:paraId="5AD5C90C" w14:textId="77777777" w:rsidR="000B1B6C" w:rsidRPr="007D5545" w:rsidRDefault="000B1B6C" w:rsidP="000B1B6C">
            <w:pPr>
              <w:tabs>
                <w:tab w:val="left" w:pos="169"/>
                <w:tab w:val="left" w:pos="323"/>
              </w:tabs>
              <w:rPr>
                <w:rFonts w:ascii="Arial" w:eastAsia="Calibri" w:hAnsi="Arial" w:cs="Arial"/>
                <w:lang w:val="nl-BE"/>
              </w:rPr>
            </w:pPr>
            <w:r w:rsidRPr="007D5545">
              <w:rPr>
                <w:rFonts w:ascii="Arial" w:eastAsia="Calibri" w:hAnsi="Arial" w:cs="Arial"/>
                <w:lang w:val="nl-BE"/>
              </w:rPr>
              <w:tab/>
            </w:r>
            <w:r w:rsidRPr="007D5545">
              <w:rPr>
                <w:rFonts w:ascii="Arial" w:eastAsia="Calibri" w:hAnsi="Arial" w:cs="Arial"/>
                <w:lang w:val="fr-BE"/>
              </w:rPr>
              <w:sym w:font="Symbol" w:char="F0B7"/>
            </w:r>
            <w:r w:rsidRPr="007D5545">
              <w:rPr>
                <w:rFonts w:ascii="Arial" w:eastAsia="Calibri" w:hAnsi="Arial" w:cs="Arial"/>
                <w:lang w:val="nl-BE"/>
              </w:rPr>
              <w:t xml:space="preserve"> </w:t>
            </w:r>
            <w:r w:rsidRPr="007D5545">
              <w:rPr>
                <w:rFonts w:ascii="Arial" w:hAnsi="Arial"/>
                <w:lang w:val="nl-BE"/>
              </w:rPr>
              <w:t xml:space="preserve">In geval van technische aanpassingen zal de Dienst haar voorstellen rechtstreeks aan de Minister </w:t>
            </w:r>
            <w:r w:rsidRPr="007D5545">
              <w:rPr>
                <w:rFonts w:ascii="Arial" w:hAnsi="Arial"/>
                <w:lang w:val="nl-BE"/>
              </w:rPr>
              <w:tab/>
            </w:r>
            <w:r w:rsidRPr="007D5545">
              <w:rPr>
                <w:rFonts w:ascii="Arial" w:hAnsi="Arial"/>
                <w:lang w:val="nl-BE"/>
              </w:rPr>
              <w:tab/>
            </w:r>
            <w:r w:rsidRPr="007D5545">
              <w:rPr>
                <w:rFonts w:ascii="Arial" w:hAnsi="Arial"/>
                <w:lang w:val="nl-BE"/>
              </w:rPr>
              <w:tab/>
              <w:t>overmaken (geen voorlegging aan de CTFPG)</w:t>
            </w:r>
          </w:p>
          <w:p w14:paraId="568EC173" w14:textId="77777777" w:rsidR="00713921" w:rsidRDefault="00713921" w:rsidP="000B1B6C">
            <w:pPr>
              <w:rPr>
                <w:rFonts w:ascii="Arial" w:eastAsia="Calibri" w:hAnsi="Arial" w:cs="Arial"/>
                <w:lang w:val="nl-BE"/>
              </w:rPr>
            </w:pPr>
          </w:p>
          <w:p w14:paraId="3DA04ECA" w14:textId="77777777" w:rsidR="000B1B6C" w:rsidRPr="007D5545" w:rsidRDefault="000B1B6C" w:rsidP="000B1B6C">
            <w:pPr>
              <w:rPr>
                <w:rFonts w:ascii="Arial" w:eastAsia="Calibri" w:hAnsi="Arial" w:cs="Arial"/>
                <w:lang w:val="nl-BE"/>
              </w:rPr>
            </w:pPr>
            <w:r w:rsidRPr="007D5545">
              <w:rPr>
                <w:rFonts w:ascii="Arial" w:eastAsia="Calibri" w:hAnsi="Arial" w:cs="Arial"/>
                <w:lang w:val="nl-BE"/>
              </w:rPr>
              <w:t xml:space="preserve">- </w:t>
            </w:r>
            <w:r w:rsidRPr="007D5545">
              <w:rPr>
                <w:rFonts w:ascii="Arial" w:hAnsi="Arial"/>
                <w:u w:val="single"/>
                <w:lang w:val="nl-BE"/>
              </w:rPr>
              <w:t>Nieuwigheden in vergelijking met de 3 huidige reglementeringen</w:t>
            </w:r>
            <w:r w:rsidRPr="007D5545">
              <w:rPr>
                <w:rFonts w:ascii="Arial" w:eastAsia="Calibri" w:hAnsi="Arial" w:cs="Arial"/>
                <w:lang w:val="nl-BE"/>
              </w:rPr>
              <w:t>:</w:t>
            </w:r>
          </w:p>
          <w:p w14:paraId="49FB7872" w14:textId="77777777" w:rsidR="000B1B6C" w:rsidRPr="007D5545" w:rsidRDefault="000B1B6C" w:rsidP="000B1B6C">
            <w:pPr>
              <w:numPr>
                <w:ilvl w:val="0"/>
                <w:numId w:val="19"/>
              </w:numPr>
              <w:ind w:left="311" w:hanging="142"/>
              <w:contextualSpacing/>
              <w:rPr>
                <w:rFonts w:ascii="Arial" w:eastAsia="Calibri" w:hAnsi="Arial" w:cs="Arial"/>
                <w:lang w:val="fr-BE"/>
              </w:rPr>
            </w:pPr>
            <w:r w:rsidRPr="007D5545">
              <w:rPr>
                <w:rFonts w:ascii="Arial" w:hAnsi="Arial"/>
                <w:lang w:val="nl-BE"/>
              </w:rPr>
              <w:t xml:space="preserve">Oprichten van een Bureau </w:t>
            </w:r>
          </w:p>
          <w:p w14:paraId="4F4877D1" w14:textId="77777777" w:rsidR="000B1B6C" w:rsidRPr="007D5545" w:rsidRDefault="000B1B6C" w:rsidP="000B1B6C">
            <w:pPr>
              <w:numPr>
                <w:ilvl w:val="0"/>
                <w:numId w:val="19"/>
              </w:numPr>
              <w:ind w:left="311" w:hanging="142"/>
              <w:contextualSpacing/>
              <w:rPr>
                <w:rFonts w:ascii="Arial" w:eastAsia="Calibri" w:hAnsi="Arial" w:cs="Arial"/>
                <w:lang w:val="nl-BE"/>
              </w:rPr>
            </w:pPr>
            <w:r w:rsidRPr="007D5545">
              <w:rPr>
                <w:rFonts w:ascii="Arial" w:eastAsia="Calibri" w:hAnsi="Arial" w:cs="Arial"/>
                <w:lang w:val="nl-BE"/>
              </w:rPr>
              <w:t>Oprichten van 3 permanente werkgroepen die indien nodig de evaluatie van de dossiers zullen verzekeren met de hulp van interne en eventueel externe deskundigen</w:t>
            </w:r>
          </w:p>
          <w:p w14:paraId="2A2974EE" w14:textId="77777777" w:rsidR="000B1B6C" w:rsidRPr="007D5545" w:rsidRDefault="000B1B6C" w:rsidP="000B1B6C">
            <w:pPr>
              <w:numPr>
                <w:ilvl w:val="0"/>
                <w:numId w:val="19"/>
              </w:numPr>
              <w:ind w:left="311" w:hanging="142"/>
              <w:contextualSpacing/>
              <w:rPr>
                <w:rFonts w:ascii="Arial" w:eastAsia="Calibri" w:hAnsi="Arial" w:cs="Arial"/>
                <w:lang w:val="fr-BE"/>
              </w:rPr>
            </w:pPr>
            <w:proofErr w:type="spellStart"/>
            <w:r w:rsidRPr="007D5545">
              <w:rPr>
                <w:rFonts w:ascii="Arial" w:eastAsia="Calibri" w:hAnsi="Arial" w:cs="Arial"/>
                <w:lang w:val="fr-BE"/>
              </w:rPr>
              <w:t>Procedure</w:t>
            </w:r>
            <w:proofErr w:type="spellEnd"/>
            <w:r w:rsidRPr="007D5545">
              <w:rPr>
                <w:rFonts w:ascii="Arial" w:eastAsia="Calibri" w:hAnsi="Arial" w:cs="Arial"/>
                <w:lang w:val="fr-BE"/>
              </w:rPr>
              <w:t> :</w:t>
            </w:r>
          </w:p>
          <w:p w14:paraId="1377866F" w14:textId="77777777" w:rsidR="000B1B6C" w:rsidRPr="007D5545" w:rsidRDefault="000B1B6C" w:rsidP="000B1B6C">
            <w:pPr>
              <w:numPr>
                <w:ilvl w:val="1"/>
                <w:numId w:val="19"/>
              </w:numPr>
              <w:tabs>
                <w:tab w:val="left" w:pos="714"/>
              </w:tabs>
              <w:ind w:left="878" w:hanging="284"/>
              <w:contextualSpacing/>
              <w:rPr>
                <w:rFonts w:ascii="Arial" w:eastAsia="Calibri" w:hAnsi="Arial" w:cs="Arial"/>
                <w:lang w:val="nl-BE"/>
              </w:rPr>
            </w:pPr>
            <w:r w:rsidRPr="007D5545">
              <w:rPr>
                <w:rFonts w:ascii="Arial" w:eastAsia="Calibri" w:hAnsi="Arial" w:cs="Arial"/>
                <w:lang w:val="nl-BE"/>
              </w:rPr>
              <w:t xml:space="preserve">Overmaken van de aanbevelingen van de werkgroepen aan de Commissie, die ze zal kunnen aannemen of weigeren </w:t>
            </w:r>
          </w:p>
          <w:p w14:paraId="6B6D1E19" w14:textId="77777777" w:rsidR="000B1B6C" w:rsidRPr="007D5545" w:rsidRDefault="000B1B6C" w:rsidP="000B1B6C">
            <w:pPr>
              <w:numPr>
                <w:ilvl w:val="1"/>
                <w:numId w:val="19"/>
              </w:numPr>
              <w:tabs>
                <w:tab w:val="left" w:pos="714"/>
              </w:tabs>
              <w:ind w:left="878" w:hanging="284"/>
              <w:contextualSpacing/>
              <w:rPr>
                <w:rFonts w:ascii="Arial" w:eastAsia="Calibri" w:hAnsi="Arial" w:cs="Arial"/>
                <w:lang w:val="nl-BE"/>
              </w:rPr>
            </w:pPr>
            <w:r w:rsidRPr="007D5545">
              <w:rPr>
                <w:rFonts w:ascii="Arial" w:eastAsia="Calibri" w:hAnsi="Arial" w:cs="Arial"/>
                <w:lang w:val="nl-BE"/>
              </w:rPr>
              <w:t xml:space="preserve">Overmaken van de adviezen van de Commissie aan de Minister van Sociale Zaken, die vervolgens een definitieve beslissing zal nemen </w:t>
            </w:r>
          </w:p>
          <w:p w14:paraId="542893C0" w14:textId="77777777" w:rsidR="000B1B6C" w:rsidRPr="007D5545" w:rsidRDefault="000B1B6C" w:rsidP="000B1B6C">
            <w:pPr>
              <w:numPr>
                <w:ilvl w:val="1"/>
                <w:numId w:val="19"/>
              </w:numPr>
              <w:tabs>
                <w:tab w:val="left" w:pos="714"/>
              </w:tabs>
              <w:ind w:left="878" w:hanging="284"/>
              <w:contextualSpacing/>
              <w:rPr>
                <w:rFonts w:ascii="Arial" w:eastAsia="Calibri" w:hAnsi="Arial" w:cs="Arial"/>
                <w:lang w:val="nl-BE"/>
              </w:rPr>
            </w:pPr>
            <w:r w:rsidRPr="007D5545">
              <w:rPr>
                <w:rFonts w:ascii="Arial" w:eastAsia="Calibri" w:hAnsi="Arial" w:cs="Arial"/>
                <w:lang w:val="nl-BE"/>
              </w:rPr>
              <w:t xml:space="preserve">Invoering van maximum termijnen waarbinnen de aanvragen door de Commissie zullen moeten behandeld worden en waarbinnen de Minister van Sociale Zaken een beslissing zal moeten nemen. Indien de maximum termijn waarover de Minister van Sociale Zaken zal beschikken niet </w:t>
            </w:r>
            <w:r w:rsidRPr="007D5545">
              <w:rPr>
                <w:rFonts w:ascii="Arial" w:eastAsia="Calibri" w:hAnsi="Arial" w:cs="Arial"/>
                <w:lang w:val="nl-BE"/>
              </w:rPr>
              <w:lastRenderedPageBreak/>
              <w:t>nageleefd wordt, dan zal het laatste voorstel van de aanvrager aanvaard worden of, naargelang het geval, zal er geen aanpassing zijn van de lijst</w:t>
            </w:r>
          </w:p>
          <w:p w14:paraId="33B91188" w14:textId="77777777" w:rsidR="000B1B6C" w:rsidRPr="007D5545" w:rsidRDefault="000B1B6C" w:rsidP="000B1B6C">
            <w:pPr>
              <w:numPr>
                <w:ilvl w:val="0"/>
                <w:numId w:val="19"/>
              </w:numPr>
              <w:ind w:left="311" w:hanging="142"/>
              <w:contextualSpacing/>
              <w:rPr>
                <w:rFonts w:ascii="Arial" w:eastAsia="Calibri" w:hAnsi="Arial" w:cs="Arial"/>
                <w:lang w:val="nl-BE"/>
              </w:rPr>
            </w:pPr>
            <w:r w:rsidRPr="007D5545">
              <w:rPr>
                <w:rFonts w:ascii="Arial" w:eastAsia="Calibri" w:hAnsi="Arial" w:cs="Arial"/>
                <w:lang w:val="nl-BE"/>
              </w:rPr>
              <w:t>Wijziging per ministerieel besluit van de lijsten van de producten en prestaties</w:t>
            </w:r>
          </w:p>
          <w:p w14:paraId="5DE24DA5" w14:textId="77777777" w:rsidR="000B1B6C" w:rsidRPr="007D5545" w:rsidRDefault="000B1B6C" w:rsidP="000B1B6C">
            <w:pPr>
              <w:numPr>
                <w:ilvl w:val="0"/>
                <w:numId w:val="19"/>
              </w:numPr>
              <w:ind w:left="311" w:hanging="142"/>
              <w:contextualSpacing/>
              <w:rPr>
                <w:rFonts w:ascii="Arial" w:eastAsia="Calibri" w:hAnsi="Arial" w:cs="Arial"/>
                <w:lang w:val="nl-BE"/>
              </w:rPr>
            </w:pPr>
            <w:r w:rsidRPr="007D5545">
              <w:rPr>
                <w:rFonts w:ascii="Arial" w:hAnsi="Arial"/>
                <w:lang w:val="nl-BE"/>
              </w:rPr>
              <w:t>Mogelijkheid voor de Minister om een dossier in beraad te houden in afwachting van financiële middelen voor de vergoedbaarheid van het desbetreffende product of de desbetreffende verstrekking</w:t>
            </w:r>
          </w:p>
          <w:p w14:paraId="4DC99878" w14:textId="77777777" w:rsidR="000B1B6C" w:rsidRPr="007D5545" w:rsidRDefault="000B1B6C" w:rsidP="000B1B6C">
            <w:pPr>
              <w:numPr>
                <w:ilvl w:val="0"/>
                <w:numId w:val="19"/>
              </w:numPr>
              <w:ind w:left="311" w:hanging="142"/>
              <w:contextualSpacing/>
              <w:rPr>
                <w:rFonts w:ascii="Arial" w:eastAsia="Calibri" w:hAnsi="Arial" w:cs="Arial"/>
                <w:lang w:val="nl-BE"/>
              </w:rPr>
            </w:pPr>
            <w:r w:rsidRPr="007D5545">
              <w:rPr>
                <w:rFonts w:ascii="Arial" w:eastAsia="Calibri" w:hAnsi="Arial" w:cs="Arial"/>
                <w:lang w:val="nl-BE"/>
              </w:rPr>
              <w:t>Uitwisseling van gegevens en briefwisseling met de betrokken verschillende partijen via elektronische weg</w:t>
            </w:r>
          </w:p>
          <w:p w14:paraId="49EB1227" w14:textId="77777777" w:rsidR="000B1B6C" w:rsidRPr="007D5545" w:rsidRDefault="000B1B6C" w:rsidP="000B1B6C">
            <w:pPr>
              <w:pStyle w:val="Plattetekst"/>
              <w:rPr>
                <w:szCs w:val="22"/>
                <w:lang w:val="nl-BE"/>
              </w:rPr>
            </w:pPr>
          </w:p>
          <w:p w14:paraId="5A2444D9" w14:textId="77777777" w:rsidR="000B1B6C" w:rsidRDefault="000B1B6C" w:rsidP="000B1B6C">
            <w:pPr>
              <w:rPr>
                <w:rFonts w:ascii="Arial" w:eastAsia="Calibri" w:hAnsi="Arial" w:cs="Arial"/>
                <w:lang w:val="nl-BE"/>
              </w:rPr>
            </w:pPr>
            <w:r w:rsidRPr="007D5545">
              <w:rPr>
                <w:rFonts w:ascii="Calibri" w:eastAsia="Calibri" w:hAnsi="Calibri" w:cs="Arial"/>
                <w:vertAlign w:val="superscript"/>
                <w:lang w:val="nl-BE"/>
              </w:rPr>
              <w:t>①</w:t>
            </w:r>
            <w:r w:rsidRPr="007D5545">
              <w:rPr>
                <w:rFonts w:ascii="Arial" w:eastAsia="Calibri" w:hAnsi="Arial" w:cs="Arial"/>
                <w:lang w:val="nl-BE"/>
              </w:rPr>
              <w:t xml:space="preserve">De Wet van 22 juni 2016 voorziet de oprichting van de Technische Farmaceutische Raad (TFR) als een nieuwe Raad. Om alle verwarring te vermijden met de huidige TFR (bevoegd voor de terugbetaling van de magistrale bereidingen), werd er beslist om de benaming te wijzigen en te spreken over een nieuwe Commissie: “de Commissie voor terugbetaling van farmaceutische producten en verstrekkingen” in plaats van over “de nieuwe TFR”. Dit zal officieel gemaakt worden met </w:t>
            </w:r>
            <w:r>
              <w:rPr>
                <w:rFonts w:ascii="Arial" w:eastAsia="Calibri" w:hAnsi="Arial" w:cs="Arial"/>
                <w:lang w:val="nl-BE"/>
              </w:rPr>
              <w:t>een</w:t>
            </w:r>
            <w:r w:rsidRPr="007D5545">
              <w:rPr>
                <w:rFonts w:ascii="Arial" w:eastAsia="Calibri" w:hAnsi="Arial" w:cs="Arial"/>
                <w:lang w:val="nl-BE"/>
              </w:rPr>
              <w:t xml:space="preserve"> nog te verschijnen Wet diverse bepalingen.</w:t>
            </w:r>
          </w:p>
          <w:p w14:paraId="3C721B23" w14:textId="77777777" w:rsidR="000B1B6C" w:rsidRPr="00624AD7" w:rsidRDefault="000B1B6C" w:rsidP="000B1B6C">
            <w:pPr>
              <w:rPr>
                <w:rFonts w:ascii="Arial" w:eastAsia="Calibri" w:hAnsi="Arial" w:cs="Arial"/>
                <w:lang w:val="nl-NL"/>
              </w:rPr>
            </w:pPr>
            <w:r w:rsidRPr="00624AD7">
              <w:rPr>
                <w:rFonts w:ascii="Arial" w:eastAsia="Calibri" w:hAnsi="Arial" w:cs="Arial"/>
                <w:lang w:val="nl-NL"/>
              </w:rPr>
              <w:t>De wet van 30 oktober 2018 (BS 16.11.2018) houdende diverse bepalingen inzake gezondheid – Hoofdstuk 16 – Afdeling 2 wijzig</w:t>
            </w:r>
            <w:r>
              <w:rPr>
                <w:rFonts w:ascii="Arial" w:eastAsia="Calibri" w:hAnsi="Arial" w:cs="Arial"/>
                <w:lang w:val="nl-NL"/>
              </w:rPr>
              <w:t>t</w:t>
            </w:r>
            <w:r w:rsidRPr="00624AD7">
              <w:rPr>
                <w:rFonts w:ascii="Arial" w:eastAsia="Calibri" w:hAnsi="Arial" w:cs="Arial"/>
                <w:lang w:val="nl-NL"/>
              </w:rPr>
              <w:t xml:space="preserve"> de wet van 22 juni 2016 wat de datum van inwerkingtreding van de nieuwe reglementering betreft. Deze is nu op 1 januari 2020 voorzien.</w:t>
            </w:r>
          </w:p>
          <w:p w14:paraId="0087F38C" w14:textId="77777777" w:rsidR="000B1B6C" w:rsidRPr="00624AD7" w:rsidRDefault="000B1B6C" w:rsidP="000B1B6C">
            <w:pPr>
              <w:rPr>
                <w:rFonts w:ascii="Arial" w:hAnsi="Arial"/>
                <w:b/>
                <w:sz w:val="22"/>
                <w:u w:val="single"/>
                <w:lang w:val="nl-NL"/>
              </w:rPr>
            </w:pPr>
          </w:p>
          <w:p w14:paraId="7A96EF90" w14:textId="77777777" w:rsidR="000B1B6C" w:rsidRPr="007D5545" w:rsidRDefault="000B1B6C" w:rsidP="000B1B6C">
            <w:pPr>
              <w:tabs>
                <w:tab w:val="left" w:pos="709"/>
              </w:tabs>
              <w:rPr>
                <w:rFonts w:ascii="Arial" w:hAnsi="Arial"/>
                <w:b/>
                <w:lang w:val="nl-BE"/>
              </w:rPr>
            </w:pPr>
            <w:r w:rsidRPr="007D5545">
              <w:rPr>
                <w:rFonts w:ascii="Arial" w:hAnsi="Arial"/>
                <w:b/>
                <w:u w:val="single"/>
                <w:lang w:val="nl-BE"/>
              </w:rPr>
              <w:t>Motivering</w:t>
            </w:r>
            <w:r w:rsidRPr="007D5545">
              <w:rPr>
                <w:rFonts w:ascii="Arial" w:hAnsi="Arial"/>
                <w:b/>
                <w:lang w:val="nl-BE"/>
              </w:rPr>
              <w:t>:</w:t>
            </w:r>
          </w:p>
          <w:p w14:paraId="0B715FE0" w14:textId="77777777" w:rsidR="000B1B6C" w:rsidRPr="007D5545" w:rsidRDefault="000B1B6C" w:rsidP="000B1B6C">
            <w:pPr>
              <w:tabs>
                <w:tab w:val="left" w:pos="709"/>
              </w:tabs>
              <w:rPr>
                <w:rFonts w:ascii="Arial" w:hAnsi="Arial"/>
                <w:lang w:val="nl-BE"/>
              </w:rPr>
            </w:pPr>
            <w:r w:rsidRPr="007D5545">
              <w:rPr>
                <w:rFonts w:ascii="Arial" w:hAnsi="Arial"/>
                <w:lang w:val="nl-BE"/>
              </w:rPr>
              <w:t xml:space="preserve">- meer doorzichtigheid </w:t>
            </w:r>
          </w:p>
          <w:p w14:paraId="1777DD6F" w14:textId="77777777" w:rsidR="000B1B6C" w:rsidRPr="007D5545" w:rsidRDefault="000B1B6C" w:rsidP="000B1B6C">
            <w:pPr>
              <w:rPr>
                <w:rFonts w:ascii="Arial" w:eastAsia="Calibri" w:hAnsi="Arial" w:cs="Arial"/>
                <w:lang w:val="nl-BE"/>
              </w:rPr>
            </w:pPr>
            <w:r w:rsidRPr="007D5545">
              <w:rPr>
                <w:rFonts w:ascii="Arial" w:eastAsia="Calibri" w:hAnsi="Arial" w:cs="Arial"/>
                <w:lang w:val="nl-BE"/>
              </w:rPr>
              <w:t>- vereenvoudiging en harmonisatie van de bestaande procedures</w:t>
            </w:r>
          </w:p>
          <w:p w14:paraId="6C76A29E" w14:textId="77777777" w:rsidR="009A3BCA" w:rsidRPr="00AE1F2D" w:rsidRDefault="000B1B6C" w:rsidP="000B1B6C">
            <w:pPr>
              <w:rPr>
                <w:rFonts w:ascii="Arial" w:hAnsi="Arial"/>
                <w:lang w:val="nl-BE"/>
              </w:rPr>
            </w:pPr>
            <w:r w:rsidRPr="007D5545">
              <w:rPr>
                <w:rFonts w:ascii="Arial" w:hAnsi="Arial"/>
                <w:lang w:val="nl-BE"/>
              </w:rPr>
              <w:t>- betere deskundigheid</w:t>
            </w:r>
          </w:p>
        </w:tc>
      </w:tr>
    </w:tbl>
    <w:p w14:paraId="062EAD55" w14:textId="77777777" w:rsidR="004F7086" w:rsidRDefault="004F7086" w:rsidP="000C11AD">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683224" w:rsidRPr="00683224" w14:paraId="52B22D35" w14:textId="77777777" w:rsidTr="00961D33">
        <w:trPr>
          <w:trHeight w:val="675"/>
        </w:trPr>
        <w:tc>
          <w:tcPr>
            <w:tcW w:w="9606" w:type="dxa"/>
          </w:tcPr>
          <w:p w14:paraId="47BC57D1" w14:textId="77777777" w:rsidR="00683224" w:rsidRPr="00AE1F2D" w:rsidRDefault="00683224" w:rsidP="00961D33">
            <w:pPr>
              <w:jc w:val="both"/>
              <w:rPr>
                <w:rFonts w:ascii="Arial" w:hAnsi="Arial"/>
                <w:b/>
                <w:sz w:val="22"/>
                <w:lang w:val="nl-BE"/>
              </w:rPr>
            </w:pPr>
            <w:r w:rsidRPr="00AE1F2D">
              <w:rPr>
                <w:rFonts w:ascii="Arial" w:hAnsi="Arial"/>
                <w:b/>
                <w:sz w:val="22"/>
                <w:u w:val="single"/>
                <w:lang w:val="nl-BE"/>
              </w:rPr>
              <w:t>PROCEDURE</w:t>
            </w:r>
            <w:r w:rsidRPr="00AE1F2D">
              <w:rPr>
                <w:rFonts w:ascii="Arial" w:hAnsi="Arial"/>
                <w:b/>
                <w:sz w:val="22"/>
                <w:lang w:val="nl-BE"/>
              </w:rPr>
              <w:t xml:space="preserve"> : </w:t>
            </w:r>
          </w:p>
          <w:p w14:paraId="1F81C0C6" w14:textId="77777777" w:rsidR="00683224" w:rsidRDefault="00683224" w:rsidP="00961D33">
            <w:pPr>
              <w:jc w:val="both"/>
              <w:rPr>
                <w:rFonts w:ascii="Arial" w:hAnsi="Arial"/>
                <w:spacing w:val="-3"/>
                <w:lang w:val="nl-BE"/>
              </w:rPr>
            </w:pPr>
            <w:r w:rsidRPr="00AE1F2D">
              <w:rPr>
                <w:rFonts w:ascii="Arial" w:hAnsi="Arial"/>
                <w:sz w:val="22"/>
                <w:u w:val="single"/>
                <w:lang w:val="nl-BE"/>
              </w:rPr>
              <w:t>Wettelijke basis</w:t>
            </w:r>
            <w:r w:rsidRPr="00AE1F2D">
              <w:rPr>
                <w:rFonts w:ascii="Arial" w:hAnsi="Arial"/>
                <w:sz w:val="22"/>
                <w:lang w:val="nl-BE"/>
              </w:rPr>
              <w:t xml:space="preserve"> : </w:t>
            </w:r>
          </w:p>
          <w:p w14:paraId="4FCD2938" w14:textId="77777777" w:rsidR="00683224" w:rsidRPr="000B1B6C" w:rsidRDefault="00683224" w:rsidP="00683224">
            <w:pPr>
              <w:pStyle w:val="Lijstalinea"/>
              <w:numPr>
                <w:ilvl w:val="0"/>
                <w:numId w:val="20"/>
              </w:numPr>
              <w:jc w:val="both"/>
              <w:rPr>
                <w:rFonts w:ascii="Arial" w:hAnsi="Arial"/>
                <w:sz w:val="22"/>
                <w:lang w:val="nl-BE"/>
              </w:rPr>
            </w:pPr>
            <w:r w:rsidRPr="00624AD7">
              <w:rPr>
                <w:rFonts w:ascii="Arial" w:eastAsia="Calibri" w:hAnsi="Arial" w:cs="Arial"/>
                <w:lang w:val="nl-BE"/>
              </w:rPr>
              <w:t>Wet van 22 juni 2016 houdende diverse bepalingen inzake gezondheid</w:t>
            </w:r>
          </w:p>
          <w:p w14:paraId="0CB33984" w14:textId="77777777" w:rsidR="00683224" w:rsidRPr="00AE1F2D" w:rsidRDefault="00683224" w:rsidP="00683224">
            <w:pPr>
              <w:pStyle w:val="Lijstalinea"/>
              <w:numPr>
                <w:ilvl w:val="0"/>
                <w:numId w:val="20"/>
              </w:numPr>
              <w:jc w:val="both"/>
              <w:rPr>
                <w:rFonts w:ascii="Arial" w:hAnsi="Arial"/>
                <w:sz w:val="22"/>
                <w:lang w:val="nl-BE"/>
              </w:rPr>
            </w:pPr>
            <w:r>
              <w:rPr>
                <w:rFonts w:ascii="Arial" w:eastAsia="Calibri" w:hAnsi="Arial" w:cs="Arial"/>
                <w:lang w:val="nl-NL"/>
              </w:rPr>
              <w:t>W</w:t>
            </w:r>
            <w:r w:rsidRPr="00624AD7">
              <w:rPr>
                <w:rFonts w:ascii="Arial" w:eastAsia="Calibri" w:hAnsi="Arial" w:cs="Arial"/>
                <w:lang w:val="nl-NL"/>
              </w:rPr>
              <w:t>et van 30 oktober 2018 houdende diverse bepalingen inzake gezondheid</w:t>
            </w:r>
          </w:p>
        </w:tc>
      </w:tr>
    </w:tbl>
    <w:p w14:paraId="187D2332" w14:textId="77777777" w:rsidR="00683224" w:rsidRPr="004C5373" w:rsidRDefault="00683224" w:rsidP="000C11AD">
      <w:pPr>
        <w:rPr>
          <w:lang w:val="nl-BE"/>
        </w:rPr>
      </w:pPr>
    </w:p>
    <w:sectPr w:rsidR="00683224" w:rsidRPr="004C5373" w:rsidSect="00E21106">
      <w:footerReference w:type="default" r:id="rId7"/>
      <w:pgSz w:w="11906" w:h="16838"/>
      <w:pgMar w:top="284" w:right="1797" w:bottom="1440" w:left="1797" w:header="720" w:footer="720" w:gutter="0"/>
      <w:paperSrc w:first="15" w:other="15"/>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CDC59" w14:textId="77777777" w:rsidR="00FE248E" w:rsidRDefault="00FE248E">
      <w:r>
        <w:separator/>
      </w:r>
    </w:p>
  </w:endnote>
  <w:endnote w:type="continuationSeparator" w:id="0">
    <w:p w14:paraId="59A1300A" w14:textId="77777777" w:rsidR="00FE248E" w:rsidRDefault="00FE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2133275"/>
      <w:docPartObj>
        <w:docPartGallery w:val="Page Numbers (Bottom of Page)"/>
        <w:docPartUnique/>
      </w:docPartObj>
    </w:sdtPr>
    <w:sdtEndPr/>
    <w:sdtContent>
      <w:p w14:paraId="3FFA3F18" w14:textId="77777777" w:rsidR="00E21106" w:rsidRDefault="00E21106">
        <w:pPr>
          <w:pStyle w:val="Voettekst"/>
          <w:jc w:val="right"/>
        </w:pPr>
        <w:r>
          <w:fldChar w:fldCharType="begin"/>
        </w:r>
        <w:r>
          <w:instrText>PAGE   \* MERGEFORMAT</w:instrText>
        </w:r>
        <w:r>
          <w:fldChar w:fldCharType="separate"/>
        </w:r>
        <w:r w:rsidR="00D0515F">
          <w:rPr>
            <w:noProof/>
          </w:rPr>
          <w:t>0</w:t>
        </w:r>
        <w:r>
          <w:fldChar w:fldCharType="end"/>
        </w:r>
      </w:p>
    </w:sdtContent>
  </w:sdt>
  <w:p w14:paraId="7E536357" w14:textId="77777777" w:rsidR="00FE248E" w:rsidRDefault="00FE248E">
    <w:pPr>
      <w:pStyle w:val="Voettekst"/>
      <w:rPr>
        <w:b/>
        <w:sz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BFFF2" w14:textId="77777777" w:rsidR="00FE248E" w:rsidRDefault="00FE248E">
      <w:r>
        <w:separator/>
      </w:r>
    </w:p>
  </w:footnote>
  <w:footnote w:type="continuationSeparator" w:id="0">
    <w:p w14:paraId="4D05EDA3" w14:textId="77777777" w:rsidR="00FE248E" w:rsidRDefault="00FE2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17BC"/>
    <w:multiLevelType w:val="hybridMultilevel"/>
    <w:tmpl w:val="7DF23ADE"/>
    <w:lvl w:ilvl="0" w:tplc="5EAE9D96">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2621FD"/>
    <w:multiLevelType w:val="hybridMultilevel"/>
    <w:tmpl w:val="3B524262"/>
    <w:lvl w:ilvl="0" w:tplc="EC921EFE">
      <w:start w:val="1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EE48A0"/>
    <w:multiLevelType w:val="hybridMultilevel"/>
    <w:tmpl w:val="BF525CAA"/>
    <w:lvl w:ilvl="0" w:tplc="A606CEB0">
      <w:start w:val="1"/>
      <w:numFmt w:val="upperLetter"/>
      <w:lvlText w:val="%1."/>
      <w:lvlJc w:val="left"/>
      <w:pPr>
        <w:ind w:left="2524" w:hanging="360"/>
      </w:pPr>
      <w:rPr>
        <w:rFonts w:hint="default"/>
      </w:rPr>
    </w:lvl>
    <w:lvl w:ilvl="1" w:tplc="080C0019" w:tentative="1">
      <w:start w:val="1"/>
      <w:numFmt w:val="lowerLetter"/>
      <w:lvlText w:val="%2."/>
      <w:lvlJc w:val="left"/>
      <w:pPr>
        <w:ind w:left="3244" w:hanging="360"/>
      </w:pPr>
    </w:lvl>
    <w:lvl w:ilvl="2" w:tplc="080C001B" w:tentative="1">
      <w:start w:val="1"/>
      <w:numFmt w:val="lowerRoman"/>
      <w:lvlText w:val="%3."/>
      <w:lvlJc w:val="right"/>
      <w:pPr>
        <w:ind w:left="3964" w:hanging="180"/>
      </w:pPr>
    </w:lvl>
    <w:lvl w:ilvl="3" w:tplc="080C000F" w:tentative="1">
      <w:start w:val="1"/>
      <w:numFmt w:val="decimal"/>
      <w:lvlText w:val="%4."/>
      <w:lvlJc w:val="left"/>
      <w:pPr>
        <w:ind w:left="4684" w:hanging="360"/>
      </w:pPr>
    </w:lvl>
    <w:lvl w:ilvl="4" w:tplc="080C0019" w:tentative="1">
      <w:start w:val="1"/>
      <w:numFmt w:val="lowerLetter"/>
      <w:lvlText w:val="%5."/>
      <w:lvlJc w:val="left"/>
      <w:pPr>
        <w:ind w:left="5404" w:hanging="360"/>
      </w:pPr>
    </w:lvl>
    <w:lvl w:ilvl="5" w:tplc="080C001B" w:tentative="1">
      <w:start w:val="1"/>
      <w:numFmt w:val="lowerRoman"/>
      <w:lvlText w:val="%6."/>
      <w:lvlJc w:val="right"/>
      <w:pPr>
        <w:ind w:left="6124" w:hanging="180"/>
      </w:pPr>
    </w:lvl>
    <w:lvl w:ilvl="6" w:tplc="080C000F" w:tentative="1">
      <w:start w:val="1"/>
      <w:numFmt w:val="decimal"/>
      <w:lvlText w:val="%7."/>
      <w:lvlJc w:val="left"/>
      <w:pPr>
        <w:ind w:left="6844" w:hanging="360"/>
      </w:pPr>
    </w:lvl>
    <w:lvl w:ilvl="7" w:tplc="080C0019" w:tentative="1">
      <w:start w:val="1"/>
      <w:numFmt w:val="lowerLetter"/>
      <w:lvlText w:val="%8."/>
      <w:lvlJc w:val="left"/>
      <w:pPr>
        <w:ind w:left="7564" w:hanging="360"/>
      </w:pPr>
    </w:lvl>
    <w:lvl w:ilvl="8" w:tplc="080C001B" w:tentative="1">
      <w:start w:val="1"/>
      <w:numFmt w:val="lowerRoman"/>
      <w:lvlText w:val="%9."/>
      <w:lvlJc w:val="right"/>
      <w:pPr>
        <w:ind w:left="8284" w:hanging="180"/>
      </w:pPr>
    </w:lvl>
  </w:abstractNum>
  <w:abstractNum w:abstractNumId="3" w15:restartNumberingAfterBreak="0">
    <w:nsid w:val="11C90C60"/>
    <w:multiLevelType w:val="hybridMultilevel"/>
    <w:tmpl w:val="10CCBDD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4080014"/>
    <w:multiLevelType w:val="hybridMultilevel"/>
    <w:tmpl w:val="E77E882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CA33211"/>
    <w:multiLevelType w:val="hybridMultilevel"/>
    <w:tmpl w:val="C72693F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CCF31D0"/>
    <w:multiLevelType w:val="hybridMultilevel"/>
    <w:tmpl w:val="B6B6E7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F77217B"/>
    <w:multiLevelType w:val="hybridMultilevel"/>
    <w:tmpl w:val="D962306E"/>
    <w:lvl w:ilvl="0" w:tplc="E398FA5A">
      <w:start w:val="1"/>
      <w:numFmt w:val="upperLetter"/>
      <w:lvlText w:val="%1."/>
      <w:lvlJc w:val="left"/>
      <w:pPr>
        <w:ind w:left="2494" w:hanging="360"/>
      </w:pPr>
      <w:rPr>
        <w:rFonts w:hint="default"/>
      </w:rPr>
    </w:lvl>
    <w:lvl w:ilvl="1" w:tplc="080C0019" w:tentative="1">
      <w:start w:val="1"/>
      <w:numFmt w:val="lowerLetter"/>
      <w:lvlText w:val="%2."/>
      <w:lvlJc w:val="left"/>
      <w:pPr>
        <w:ind w:left="3214" w:hanging="360"/>
      </w:pPr>
    </w:lvl>
    <w:lvl w:ilvl="2" w:tplc="080C001B" w:tentative="1">
      <w:start w:val="1"/>
      <w:numFmt w:val="lowerRoman"/>
      <w:lvlText w:val="%3."/>
      <w:lvlJc w:val="right"/>
      <w:pPr>
        <w:ind w:left="3934" w:hanging="180"/>
      </w:pPr>
    </w:lvl>
    <w:lvl w:ilvl="3" w:tplc="080C000F" w:tentative="1">
      <w:start w:val="1"/>
      <w:numFmt w:val="decimal"/>
      <w:lvlText w:val="%4."/>
      <w:lvlJc w:val="left"/>
      <w:pPr>
        <w:ind w:left="4654" w:hanging="360"/>
      </w:pPr>
    </w:lvl>
    <w:lvl w:ilvl="4" w:tplc="080C0019" w:tentative="1">
      <w:start w:val="1"/>
      <w:numFmt w:val="lowerLetter"/>
      <w:lvlText w:val="%5."/>
      <w:lvlJc w:val="left"/>
      <w:pPr>
        <w:ind w:left="5374" w:hanging="360"/>
      </w:pPr>
    </w:lvl>
    <w:lvl w:ilvl="5" w:tplc="080C001B" w:tentative="1">
      <w:start w:val="1"/>
      <w:numFmt w:val="lowerRoman"/>
      <w:lvlText w:val="%6."/>
      <w:lvlJc w:val="right"/>
      <w:pPr>
        <w:ind w:left="6094" w:hanging="180"/>
      </w:pPr>
    </w:lvl>
    <w:lvl w:ilvl="6" w:tplc="080C000F" w:tentative="1">
      <w:start w:val="1"/>
      <w:numFmt w:val="decimal"/>
      <w:lvlText w:val="%7."/>
      <w:lvlJc w:val="left"/>
      <w:pPr>
        <w:ind w:left="6814" w:hanging="360"/>
      </w:pPr>
    </w:lvl>
    <w:lvl w:ilvl="7" w:tplc="080C0019" w:tentative="1">
      <w:start w:val="1"/>
      <w:numFmt w:val="lowerLetter"/>
      <w:lvlText w:val="%8."/>
      <w:lvlJc w:val="left"/>
      <w:pPr>
        <w:ind w:left="7534" w:hanging="360"/>
      </w:pPr>
    </w:lvl>
    <w:lvl w:ilvl="8" w:tplc="080C001B" w:tentative="1">
      <w:start w:val="1"/>
      <w:numFmt w:val="lowerRoman"/>
      <w:lvlText w:val="%9."/>
      <w:lvlJc w:val="right"/>
      <w:pPr>
        <w:ind w:left="8254" w:hanging="180"/>
      </w:pPr>
    </w:lvl>
  </w:abstractNum>
  <w:abstractNum w:abstractNumId="8" w15:restartNumberingAfterBreak="0">
    <w:nsid w:val="2F796C7C"/>
    <w:multiLevelType w:val="singleLevel"/>
    <w:tmpl w:val="1ADCB494"/>
    <w:lvl w:ilvl="0">
      <w:start w:val="1"/>
      <w:numFmt w:val="decimal"/>
      <w:lvlText w:val="(%1)"/>
      <w:lvlJc w:val="left"/>
      <w:pPr>
        <w:tabs>
          <w:tab w:val="num" w:pos="1440"/>
        </w:tabs>
        <w:ind w:left="1440" w:hanging="360"/>
      </w:pPr>
      <w:rPr>
        <w:rFonts w:hint="default"/>
        <w:sz w:val="16"/>
        <w:szCs w:val="16"/>
      </w:rPr>
    </w:lvl>
  </w:abstractNum>
  <w:abstractNum w:abstractNumId="9" w15:restartNumberingAfterBreak="0">
    <w:nsid w:val="34C05FFB"/>
    <w:multiLevelType w:val="singleLevel"/>
    <w:tmpl w:val="EC24D318"/>
    <w:lvl w:ilvl="0">
      <w:start w:val="1"/>
      <w:numFmt w:val="decimal"/>
      <w:lvlText w:val="%1."/>
      <w:lvlJc w:val="left"/>
      <w:pPr>
        <w:tabs>
          <w:tab w:val="num" w:pos="435"/>
        </w:tabs>
        <w:ind w:left="435" w:hanging="435"/>
      </w:pPr>
      <w:rPr>
        <w:rFonts w:hint="default"/>
      </w:rPr>
    </w:lvl>
  </w:abstractNum>
  <w:abstractNum w:abstractNumId="10" w15:restartNumberingAfterBreak="0">
    <w:nsid w:val="3A9C2EE5"/>
    <w:multiLevelType w:val="singleLevel"/>
    <w:tmpl w:val="9DEE6244"/>
    <w:lvl w:ilvl="0">
      <w:start w:val="1"/>
      <w:numFmt w:val="decimal"/>
      <w:lvlText w:val="%1."/>
      <w:lvlJc w:val="left"/>
      <w:pPr>
        <w:tabs>
          <w:tab w:val="num" w:pos="1080"/>
        </w:tabs>
        <w:ind w:left="1080" w:hanging="360"/>
      </w:pPr>
      <w:rPr>
        <w:rFonts w:hint="default"/>
      </w:rPr>
    </w:lvl>
  </w:abstractNum>
  <w:abstractNum w:abstractNumId="11" w15:restartNumberingAfterBreak="0">
    <w:nsid w:val="3F6C43CF"/>
    <w:multiLevelType w:val="hybridMultilevel"/>
    <w:tmpl w:val="BF525CAA"/>
    <w:lvl w:ilvl="0" w:tplc="A606CEB0">
      <w:start w:val="1"/>
      <w:numFmt w:val="upperLetter"/>
      <w:lvlText w:val="%1."/>
      <w:lvlJc w:val="left"/>
      <w:pPr>
        <w:ind w:left="2524" w:hanging="360"/>
      </w:pPr>
      <w:rPr>
        <w:rFonts w:hint="default"/>
      </w:rPr>
    </w:lvl>
    <w:lvl w:ilvl="1" w:tplc="080C0019" w:tentative="1">
      <w:start w:val="1"/>
      <w:numFmt w:val="lowerLetter"/>
      <w:lvlText w:val="%2."/>
      <w:lvlJc w:val="left"/>
      <w:pPr>
        <w:ind w:left="3244" w:hanging="360"/>
      </w:pPr>
    </w:lvl>
    <w:lvl w:ilvl="2" w:tplc="080C001B" w:tentative="1">
      <w:start w:val="1"/>
      <w:numFmt w:val="lowerRoman"/>
      <w:lvlText w:val="%3."/>
      <w:lvlJc w:val="right"/>
      <w:pPr>
        <w:ind w:left="3964" w:hanging="180"/>
      </w:pPr>
    </w:lvl>
    <w:lvl w:ilvl="3" w:tplc="080C000F" w:tentative="1">
      <w:start w:val="1"/>
      <w:numFmt w:val="decimal"/>
      <w:lvlText w:val="%4."/>
      <w:lvlJc w:val="left"/>
      <w:pPr>
        <w:ind w:left="4684" w:hanging="360"/>
      </w:pPr>
    </w:lvl>
    <w:lvl w:ilvl="4" w:tplc="080C0019" w:tentative="1">
      <w:start w:val="1"/>
      <w:numFmt w:val="lowerLetter"/>
      <w:lvlText w:val="%5."/>
      <w:lvlJc w:val="left"/>
      <w:pPr>
        <w:ind w:left="5404" w:hanging="360"/>
      </w:pPr>
    </w:lvl>
    <w:lvl w:ilvl="5" w:tplc="080C001B" w:tentative="1">
      <w:start w:val="1"/>
      <w:numFmt w:val="lowerRoman"/>
      <w:lvlText w:val="%6."/>
      <w:lvlJc w:val="right"/>
      <w:pPr>
        <w:ind w:left="6124" w:hanging="180"/>
      </w:pPr>
    </w:lvl>
    <w:lvl w:ilvl="6" w:tplc="080C000F" w:tentative="1">
      <w:start w:val="1"/>
      <w:numFmt w:val="decimal"/>
      <w:lvlText w:val="%7."/>
      <w:lvlJc w:val="left"/>
      <w:pPr>
        <w:ind w:left="6844" w:hanging="360"/>
      </w:pPr>
    </w:lvl>
    <w:lvl w:ilvl="7" w:tplc="080C0019" w:tentative="1">
      <w:start w:val="1"/>
      <w:numFmt w:val="lowerLetter"/>
      <w:lvlText w:val="%8."/>
      <w:lvlJc w:val="left"/>
      <w:pPr>
        <w:ind w:left="7564" w:hanging="360"/>
      </w:pPr>
    </w:lvl>
    <w:lvl w:ilvl="8" w:tplc="080C001B" w:tentative="1">
      <w:start w:val="1"/>
      <w:numFmt w:val="lowerRoman"/>
      <w:lvlText w:val="%9."/>
      <w:lvlJc w:val="right"/>
      <w:pPr>
        <w:ind w:left="8284" w:hanging="180"/>
      </w:pPr>
    </w:lvl>
  </w:abstractNum>
  <w:abstractNum w:abstractNumId="12" w15:restartNumberingAfterBreak="0">
    <w:nsid w:val="40CB6CB0"/>
    <w:multiLevelType w:val="singleLevel"/>
    <w:tmpl w:val="C6F2E15C"/>
    <w:lvl w:ilvl="0">
      <w:start w:val="1"/>
      <w:numFmt w:val="decimal"/>
      <w:lvlText w:val="%1"/>
      <w:lvlJc w:val="left"/>
      <w:pPr>
        <w:tabs>
          <w:tab w:val="num" w:pos="360"/>
        </w:tabs>
        <w:ind w:left="360" w:hanging="360"/>
      </w:pPr>
      <w:rPr>
        <w:rFonts w:hint="default"/>
      </w:rPr>
    </w:lvl>
  </w:abstractNum>
  <w:abstractNum w:abstractNumId="13" w15:restartNumberingAfterBreak="0">
    <w:nsid w:val="413C6EA8"/>
    <w:multiLevelType w:val="hybridMultilevel"/>
    <w:tmpl w:val="D88AB34C"/>
    <w:lvl w:ilvl="0" w:tplc="7F94B8AE">
      <w:start w:val="2"/>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32F2D0D"/>
    <w:multiLevelType w:val="hybridMultilevel"/>
    <w:tmpl w:val="2C0E5B02"/>
    <w:lvl w:ilvl="0" w:tplc="98CE951E">
      <w:start w:val="1"/>
      <w:numFmt w:val="upperLetter"/>
      <w:lvlText w:val="%1."/>
      <w:lvlJc w:val="left"/>
      <w:pPr>
        <w:ind w:left="2494" w:hanging="360"/>
      </w:pPr>
      <w:rPr>
        <w:rFonts w:hint="default"/>
      </w:rPr>
    </w:lvl>
    <w:lvl w:ilvl="1" w:tplc="080C0019" w:tentative="1">
      <w:start w:val="1"/>
      <w:numFmt w:val="lowerLetter"/>
      <w:lvlText w:val="%2."/>
      <w:lvlJc w:val="left"/>
      <w:pPr>
        <w:ind w:left="3214" w:hanging="360"/>
      </w:pPr>
    </w:lvl>
    <w:lvl w:ilvl="2" w:tplc="080C001B" w:tentative="1">
      <w:start w:val="1"/>
      <w:numFmt w:val="lowerRoman"/>
      <w:lvlText w:val="%3."/>
      <w:lvlJc w:val="right"/>
      <w:pPr>
        <w:ind w:left="3934" w:hanging="180"/>
      </w:pPr>
    </w:lvl>
    <w:lvl w:ilvl="3" w:tplc="080C000F" w:tentative="1">
      <w:start w:val="1"/>
      <w:numFmt w:val="decimal"/>
      <w:lvlText w:val="%4."/>
      <w:lvlJc w:val="left"/>
      <w:pPr>
        <w:ind w:left="4654" w:hanging="360"/>
      </w:pPr>
    </w:lvl>
    <w:lvl w:ilvl="4" w:tplc="080C0019" w:tentative="1">
      <w:start w:val="1"/>
      <w:numFmt w:val="lowerLetter"/>
      <w:lvlText w:val="%5."/>
      <w:lvlJc w:val="left"/>
      <w:pPr>
        <w:ind w:left="5374" w:hanging="360"/>
      </w:pPr>
    </w:lvl>
    <w:lvl w:ilvl="5" w:tplc="080C001B" w:tentative="1">
      <w:start w:val="1"/>
      <w:numFmt w:val="lowerRoman"/>
      <w:lvlText w:val="%6."/>
      <w:lvlJc w:val="right"/>
      <w:pPr>
        <w:ind w:left="6094" w:hanging="180"/>
      </w:pPr>
    </w:lvl>
    <w:lvl w:ilvl="6" w:tplc="080C000F" w:tentative="1">
      <w:start w:val="1"/>
      <w:numFmt w:val="decimal"/>
      <w:lvlText w:val="%7."/>
      <w:lvlJc w:val="left"/>
      <w:pPr>
        <w:ind w:left="6814" w:hanging="360"/>
      </w:pPr>
    </w:lvl>
    <w:lvl w:ilvl="7" w:tplc="080C0019" w:tentative="1">
      <w:start w:val="1"/>
      <w:numFmt w:val="lowerLetter"/>
      <w:lvlText w:val="%8."/>
      <w:lvlJc w:val="left"/>
      <w:pPr>
        <w:ind w:left="7534" w:hanging="360"/>
      </w:pPr>
    </w:lvl>
    <w:lvl w:ilvl="8" w:tplc="080C001B" w:tentative="1">
      <w:start w:val="1"/>
      <w:numFmt w:val="lowerRoman"/>
      <w:lvlText w:val="%9."/>
      <w:lvlJc w:val="right"/>
      <w:pPr>
        <w:ind w:left="8254" w:hanging="180"/>
      </w:pPr>
    </w:lvl>
  </w:abstractNum>
  <w:abstractNum w:abstractNumId="15" w15:restartNumberingAfterBreak="0">
    <w:nsid w:val="56D57613"/>
    <w:multiLevelType w:val="hybridMultilevel"/>
    <w:tmpl w:val="CEA293EE"/>
    <w:lvl w:ilvl="0" w:tplc="561CDE1E">
      <w:start w:val="1"/>
      <w:numFmt w:val="upperLetter"/>
      <w:lvlText w:val="%1."/>
      <w:lvlJc w:val="left"/>
      <w:pPr>
        <w:ind w:left="2494" w:hanging="360"/>
      </w:pPr>
      <w:rPr>
        <w:rFonts w:hint="default"/>
      </w:rPr>
    </w:lvl>
    <w:lvl w:ilvl="1" w:tplc="080C0019" w:tentative="1">
      <w:start w:val="1"/>
      <w:numFmt w:val="lowerLetter"/>
      <w:lvlText w:val="%2."/>
      <w:lvlJc w:val="left"/>
      <w:pPr>
        <w:ind w:left="3214" w:hanging="360"/>
      </w:pPr>
    </w:lvl>
    <w:lvl w:ilvl="2" w:tplc="080C001B" w:tentative="1">
      <w:start w:val="1"/>
      <w:numFmt w:val="lowerRoman"/>
      <w:lvlText w:val="%3."/>
      <w:lvlJc w:val="right"/>
      <w:pPr>
        <w:ind w:left="3934" w:hanging="180"/>
      </w:pPr>
    </w:lvl>
    <w:lvl w:ilvl="3" w:tplc="080C000F" w:tentative="1">
      <w:start w:val="1"/>
      <w:numFmt w:val="decimal"/>
      <w:lvlText w:val="%4."/>
      <w:lvlJc w:val="left"/>
      <w:pPr>
        <w:ind w:left="4654" w:hanging="360"/>
      </w:pPr>
    </w:lvl>
    <w:lvl w:ilvl="4" w:tplc="080C0019" w:tentative="1">
      <w:start w:val="1"/>
      <w:numFmt w:val="lowerLetter"/>
      <w:lvlText w:val="%5."/>
      <w:lvlJc w:val="left"/>
      <w:pPr>
        <w:ind w:left="5374" w:hanging="360"/>
      </w:pPr>
    </w:lvl>
    <w:lvl w:ilvl="5" w:tplc="080C001B" w:tentative="1">
      <w:start w:val="1"/>
      <w:numFmt w:val="lowerRoman"/>
      <w:lvlText w:val="%6."/>
      <w:lvlJc w:val="right"/>
      <w:pPr>
        <w:ind w:left="6094" w:hanging="180"/>
      </w:pPr>
    </w:lvl>
    <w:lvl w:ilvl="6" w:tplc="080C000F" w:tentative="1">
      <w:start w:val="1"/>
      <w:numFmt w:val="decimal"/>
      <w:lvlText w:val="%7."/>
      <w:lvlJc w:val="left"/>
      <w:pPr>
        <w:ind w:left="6814" w:hanging="360"/>
      </w:pPr>
    </w:lvl>
    <w:lvl w:ilvl="7" w:tplc="080C0019" w:tentative="1">
      <w:start w:val="1"/>
      <w:numFmt w:val="lowerLetter"/>
      <w:lvlText w:val="%8."/>
      <w:lvlJc w:val="left"/>
      <w:pPr>
        <w:ind w:left="7534" w:hanging="360"/>
      </w:pPr>
    </w:lvl>
    <w:lvl w:ilvl="8" w:tplc="080C001B" w:tentative="1">
      <w:start w:val="1"/>
      <w:numFmt w:val="lowerRoman"/>
      <w:lvlText w:val="%9."/>
      <w:lvlJc w:val="right"/>
      <w:pPr>
        <w:ind w:left="8254" w:hanging="180"/>
      </w:pPr>
    </w:lvl>
  </w:abstractNum>
  <w:abstractNum w:abstractNumId="16" w15:restartNumberingAfterBreak="0">
    <w:nsid w:val="65D277B4"/>
    <w:multiLevelType w:val="hybridMultilevel"/>
    <w:tmpl w:val="253A7D46"/>
    <w:lvl w:ilvl="0" w:tplc="506E079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8EE4601"/>
    <w:multiLevelType w:val="hybridMultilevel"/>
    <w:tmpl w:val="B51C95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B2B218E"/>
    <w:multiLevelType w:val="hybridMultilevel"/>
    <w:tmpl w:val="79E47D48"/>
    <w:lvl w:ilvl="0" w:tplc="1B28470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9" w15:restartNumberingAfterBreak="0">
    <w:nsid w:val="6DB32CFE"/>
    <w:multiLevelType w:val="hybridMultilevel"/>
    <w:tmpl w:val="48844F2E"/>
    <w:lvl w:ilvl="0" w:tplc="125A6B06">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C7BF2"/>
    <w:multiLevelType w:val="hybridMultilevel"/>
    <w:tmpl w:val="BE5C6C2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420329B"/>
    <w:multiLevelType w:val="singleLevel"/>
    <w:tmpl w:val="5694C584"/>
    <w:lvl w:ilvl="0">
      <w:start w:val="3"/>
      <w:numFmt w:val="decimal"/>
      <w:lvlText w:val="%1."/>
      <w:lvlJc w:val="left"/>
      <w:pPr>
        <w:tabs>
          <w:tab w:val="num" w:pos="570"/>
        </w:tabs>
        <w:ind w:left="570" w:hanging="570"/>
      </w:pPr>
      <w:rPr>
        <w:rFonts w:hint="default"/>
      </w:rPr>
    </w:lvl>
  </w:abstractNum>
  <w:abstractNum w:abstractNumId="22" w15:restartNumberingAfterBreak="0">
    <w:nsid w:val="78536C9D"/>
    <w:multiLevelType w:val="hybridMultilevel"/>
    <w:tmpl w:val="885A82B0"/>
    <w:lvl w:ilvl="0" w:tplc="52980FB2">
      <w:start w:val="1"/>
      <w:numFmt w:val="lowerLetter"/>
      <w:lvlText w:val="%1."/>
      <w:lvlJc w:val="left"/>
      <w:pPr>
        <w:ind w:left="530" w:hanging="360"/>
      </w:pPr>
      <w:rPr>
        <w:rFonts w:hint="default"/>
      </w:rPr>
    </w:lvl>
    <w:lvl w:ilvl="1" w:tplc="080C0019" w:tentative="1">
      <w:start w:val="1"/>
      <w:numFmt w:val="lowerLetter"/>
      <w:lvlText w:val="%2."/>
      <w:lvlJc w:val="left"/>
      <w:pPr>
        <w:ind w:left="1250" w:hanging="360"/>
      </w:pPr>
    </w:lvl>
    <w:lvl w:ilvl="2" w:tplc="080C001B" w:tentative="1">
      <w:start w:val="1"/>
      <w:numFmt w:val="lowerRoman"/>
      <w:lvlText w:val="%3."/>
      <w:lvlJc w:val="right"/>
      <w:pPr>
        <w:ind w:left="1970" w:hanging="180"/>
      </w:pPr>
    </w:lvl>
    <w:lvl w:ilvl="3" w:tplc="080C000F" w:tentative="1">
      <w:start w:val="1"/>
      <w:numFmt w:val="decimal"/>
      <w:lvlText w:val="%4."/>
      <w:lvlJc w:val="left"/>
      <w:pPr>
        <w:ind w:left="2690" w:hanging="360"/>
      </w:pPr>
    </w:lvl>
    <w:lvl w:ilvl="4" w:tplc="080C0019" w:tentative="1">
      <w:start w:val="1"/>
      <w:numFmt w:val="lowerLetter"/>
      <w:lvlText w:val="%5."/>
      <w:lvlJc w:val="left"/>
      <w:pPr>
        <w:ind w:left="3410" w:hanging="360"/>
      </w:pPr>
    </w:lvl>
    <w:lvl w:ilvl="5" w:tplc="080C001B" w:tentative="1">
      <w:start w:val="1"/>
      <w:numFmt w:val="lowerRoman"/>
      <w:lvlText w:val="%6."/>
      <w:lvlJc w:val="right"/>
      <w:pPr>
        <w:ind w:left="4130" w:hanging="180"/>
      </w:pPr>
    </w:lvl>
    <w:lvl w:ilvl="6" w:tplc="080C000F" w:tentative="1">
      <w:start w:val="1"/>
      <w:numFmt w:val="decimal"/>
      <w:lvlText w:val="%7."/>
      <w:lvlJc w:val="left"/>
      <w:pPr>
        <w:ind w:left="4850" w:hanging="360"/>
      </w:pPr>
    </w:lvl>
    <w:lvl w:ilvl="7" w:tplc="080C0019" w:tentative="1">
      <w:start w:val="1"/>
      <w:numFmt w:val="lowerLetter"/>
      <w:lvlText w:val="%8."/>
      <w:lvlJc w:val="left"/>
      <w:pPr>
        <w:ind w:left="5570" w:hanging="360"/>
      </w:pPr>
    </w:lvl>
    <w:lvl w:ilvl="8" w:tplc="080C001B" w:tentative="1">
      <w:start w:val="1"/>
      <w:numFmt w:val="lowerRoman"/>
      <w:lvlText w:val="%9."/>
      <w:lvlJc w:val="right"/>
      <w:pPr>
        <w:ind w:left="6290" w:hanging="180"/>
      </w:pPr>
    </w:lvl>
  </w:abstractNum>
  <w:abstractNum w:abstractNumId="23" w15:restartNumberingAfterBreak="0">
    <w:nsid w:val="7D656D54"/>
    <w:multiLevelType w:val="hybridMultilevel"/>
    <w:tmpl w:val="1F9034D2"/>
    <w:lvl w:ilvl="0" w:tplc="F072E2F8">
      <w:start w:val="1"/>
      <w:numFmt w:val="upperLetter"/>
      <w:lvlText w:val="%1."/>
      <w:lvlJc w:val="left"/>
      <w:pPr>
        <w:ind w:left="249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DED3912"/>
    <w:multiLevelType w:val="hybridMultilevel"/>
    <w:tmpl w:val="9FD413B6"/>
    <w:lvl w:ilvl="0" w:tplc="A5541D34">
      <w:numFmt w:val="bullet"/>
      <w:lvlText w:val="-"/>
      <w:lvlJc w:val="left"/>
      <w:pPr>
        <w:ind w:left="720" w:hanging="360"/>
      </w:pPr>
      <w:rPr>
        <w:rFonts w:ascii="Arial" w:eastAsia="Times New Roman" w:hAnsi="Arial" w:cs="Arial"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1"/>
  </w:num>
  <w:num w:numId="4">
    <w:abstractNumId w:val="24"/>
  </w:num>
  <w:num w:numId="5">
    <w:abstractNumId w:val="10"/>
  </w:num>
  <w:num w:numId="6">
    <w:abstractNumId w:val="8"/>
  </w:num>
  <w:num w:numId="7">
    <w:abstractNumId w:val="18"/>
  </w:num>
  <w:num w:numId="8">
    <w:abstractNumId w:val="19"/>
  </w:num>
  <w:num w:numId="9">
    <w:abstractNumId w:val="4"/>
  </w:num>
  <w:num w:numId="10">
    <w:abstractNumId w:val="3"/>
  </w:num>
  <w:num w:numId="11">
    <w:abstractNumId w:val="17"/>
  </w:num>
  <w:num w:numId="12">
    <w:abstractNumId w:val="6"/>
  </w:num>
  <w:num w:numId="13">
    <w:abstractNumId w:val="19"/>
  </w:num>
  <w:num w:numId="14">
    <w:abstractNumId w:val="1"/>
  </w:num>
  <w:num w:numId="15">
    <w:abstractNumId w:val="5"/>
  </w:num>
  <w:num w:numId="16">
    <w:abstractNumId w:val="20"/>
  </w:num>
  <w:num w:numId="17">
    <w:abstractNumId w:val="13"/>
  </w:num>
  <w:num w:numId="18">
    <w:abstractNumId w:val="22"/>
  </w:num>
  <w:num w:numId="19">
    <w:abstractNumId w:val="0"/>
  </w:num>
  <w:num w:numId="20">
    <w:abstractNumId w:val="16"/>
  </w:num>
  <w:num w:numId="21">
    <w:abstractNumId w:val="2"/>
  </w:num>
  <w:num w:numId="22">
    <w:abstractNumId w:val="11"/>
  </w:num>
  <w:num w:numId="23">
    <w:abstractNumId w:val="15"/>
  </w:num>
  <w:num w:numId="24">
    <w:abstractNumId w:val="7"/>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E9"/>
    <w:rsid w:val="000005F0"/>
    <w:rsid w:val="00002934"/>
    <w:rsid w:val="00032317"/>
    <w:rsid w:val="00034A8E"/>
    <w:rsid w:val="0004507C"/>
    <w:rsid w:val="000451A7"/>
    <w:rsid w:val="0009502C"/>
    <w:rsid w:val="000A2AEA"/>
    <w:rsid w:val="000A388E"/>
    <w:rsid w:val="000A4907"/>
    <w:rsid w:val="000B1B6C"/>
    <w:rsid w:val="000C11AD"/>
    <w:rsid w:val="000D3B7D"/>
    <w:rsid w:val="000D669A"/>
    <w:rsid w:val="000F6C11"/>
    <w:rsid w:val="000F7769"/>
    <w:rsid w:val="001260E5"/>
    <w:rsid w:val="00140A77"/>
    <w:rsid w:val="00141A15"/>
    <w:rsid w:val="0018645C"/>
    <w:rsid w:val="001B3202"/>
    <w:rsid w:val="001D4389"/>
    <w:rsid w:val="001D65AF"/>
    <w:rsid w:val="001E5B64"/>
    <w:rsid w:val="001F6AD1"/>
    <w:rsid w:val="00200595"/>
    <w:rsid w:val="002107CB"/>
    <w:rsid w:val="00216AE9"/>
    <w:rsid w:val="00221F1A"/>
    <w:rsid w:val="00225FAB"/>
    <w:rsid w:val="00277590"/>
    <w:rsid w:val="00277BEE"/>
    <w:rsid w:val="002839EE"/>
    <w:rsid w:val="0029024F"/>
    <w:rsid w:val="002C42AE"/>
    <w:rsid w:val="002C5613"/>
    <w:rsid w:val="002E3FCD"/>
    <w:rsid w:val="002E61B3"/>
    <w:rsid w:val="002F2B79"/>
    <w:rsid w:val="00324991"/>
    <w:rsid w:val="00335E51"/>
    <w:rsid w:val="003525D4"/>
    <w:rsid w:val="003A1937"/>
    <w:rsid w:val="003B0742"/>
    <w:rsid w:val="003B3FCD"/>
    <w:rsid w:val="003C1545"/>
    <w:rsid w:val="003C41D4"/>
    <w:rsid w:val="003D4245"/>
    <w:rsid w:val="003E2237"/>
    <w:rsid w:val="00424700"/>
    <w:rsid w:val="00440D1A"/>
    <w:rsid w:val="004629FD"/>
    <w:rsid w:val="004953D8"/>
    <w:rsid w:val="0049798B"/>
    <w:rsid w:val="004C2F76"/>
    <w:rsid w:val="004C44B2"/>
    <w:rsid w:val="004C5373"/>
    <w:rsid w:val="004E3BCD"/>
    <w:rsid w:val="004F4967"/>
    <w:rsid w:val="004F7086"/>
    <w:rsid w:val="00500113"/>
    <w:rsid w:val="00533E1E"/>
    <w:rsid w:val="005363CC"/>
    <w:rsid w:val="00536F58"/>
    <w:rsid w:val="00541DBA"/>
    <w:rsid w:val="005549B8"/>
    <w:rsid w:val="005669D7"/>
    <w:rsid w:val="00573BED"/>
    <w:rsid w:val="00576ADD"/>
    <w:rsid w:val="005912FD"/>
    <w:rsid w:val="005931F1"/>
    <w:rsid w:val="00597B9B"/>
    <w:rsid w:val="005A68F0"/>
    <w:rsid w:val="005A700D"/>
    <w:rsid w:val="005B74A7"/>
    <w:rsid w:val="005D1EBD"/>
    <w:rsid w:val="005E0CC9"/>
    <w:rsid w:val="00620CED"/>
    <w:rsid w:val="00635E9A"/>
    <w:rsid w:val="006407C3"/>
    <w:rsid w:val="00647561"/>
    <w:rsid w:val="006525EB"/>
    <w:rsid w:val="006657E3"/>
    <w:rsid w:val="00683224"/>
    <w:rsid w:val="006A40E8"/>
    <w:rsid w:val="006B0E1C"/>
    <w:rsid w:val="006D073C"/>
    <w:rsid w:val="006D33BE"/>
    <w:rsid w:val="006E1426"/>
    <w:rsid w:val="00713921"/>
    <w:rsid w:val="00727AA3"/>
    <w:rsid w:val="007311DF"/>
    <w:rsid w:val="00766261"/>
    <w:rsid w:val="007943D2"/>
    <w:rsid w:val="007A2260"/>
    <w:rsid w:val="007A7E48"/>
    <w:rsid w:val="007C7453"/>
    <w:rsid w:val="007D78F2"/>
    <w:rsid w:val="008044A5"/>
    <w:rsid w:val="008066E9"/>
    <w:rsid w:val="008117E8"/>
    <w:rsid w:val="00812517"/>
    <w:rsid w:val="00814FC6"/>
    <w:rsid w:val="00835187"/>
    <w:rsid w:val="00840DD4"/>
    <w:rsid w:val="00847791"/>
    <w:rsid w:val="00871418"/>
    <w:rsid w:val="008A0F17"/>
    <w:rsid w:val="008A45CA"/>
    <w:rsid w:val="008B6E4F"/>
    <w:rsid w:val="008E6925"/>
    <w:rsid w:val="008F12BD"/>
    <w:rsid w:val="00910131"/>
    <w:rsid w:val="009343DC"/>
    <w:rsid w:val="00992D46"/>
    <w:rsid w:val="0099495A"/>
    <w:rsid w:val="009A1C55"/>
    <w:rsid w:val="009A3BCA"/>
    <w:rsid w:val="009A43BA"/>
    <w:rsid w:val="009D3E9C"/>
    <w:rsid w:val="009D5FA4"/>
    <w:rsid w:val="009F62C7"/>
    <w:rsid w:val="00A03E53"/>
    <w:rsid w:val="00A20511"/>
    <w:rsid w:val="00A2511A"/>
    <w:rsid w:val="00A63B8B"/>
    <w:rsid w:val="00A667C8"/>
    <w:rsid w:val="00A73393"/>
    <w:rsid w:val="00A753BF"/>
    <w:rsid w:val="00A803DA"/>
    <w:rsid w:val="00A81E97"/>
    <w:rsid w:val="00AD418B"/>
    <w:rsid w:val="00AE1F2D"/>
    <w:rsid w:val="00AE3B4F"/>
    <w:rsid w:val="00AE5749"/>
    <w:rsid w:val="00AF3BE3"/>
    <w:rsid w:val="00AF550A"/>
    <w:rsid w:val="00B002B5"/>
    <w:rsid w:val="00B031EC"/>
    <w:rsid w:val="00B13178"/>
    <w:rsid w:val="00B1466A"/>
    <w:rsid w:val="00B22A5B"/>
    <w:rsid w:val="00B528F9"/>
    <w:rsid w:val="00B66E11"/>
    <w:rsid w:val="00BC22FB"/>
    <w:rsid w:val="00BD3AF7"/>
    <w:rsid w:val="00BD6A66"/>
    <w:rsid w:val="00BE7A35"/>
    <w:rsid w:val="00BF2230"/>
    <w:rsid w:val="00BF34A0"/>
    <w:rsid w:val="00C013D8"/>
    <w:rsid w:val="00C101A8"/>
    <w:rsid w:val="00C248B2"/>
    <w:rsid w:val="00C27472"/>
    <w:rsid w:val="00C502A1"/>
    <w:rsid w:val="00C7258A"/>
    <w:rsid w:val="00C7358B"/>
    <w:rsid w:val="00C95186"/>
    <w:rsid w:val="00C96D83"/>
    <w:rsid w:val="00C97199"/>
    <w:rsid w:val="00CB4097"/>
    <w:rsid w:val="00CB73C9"/>
    <w:rsid w:val="00CB7C1B"/>
    <w:rsid w:val="00CC2FB1"/>
    <w:rsid w:val="00CD0889"/>
    <w:rsid w:val="00CF4D0B"/>
    <w:rsid w:val="00CF4EBE"/>
    <w:rsid w:val="00D028F2"/>
    <w:rsid w:val="00D0515F"/>
    <w:rsid w:val="00D26CD8"/>
    <w:rsid w:val="00D34994"/>
    <w:rsid w:val="00D4607D"/>
    <w:rsid w:val="00D51CA7"/>
    <w:rsid w:val="00D87603"/>
    <w:rsid w:val="00DA0E2C"/>
    <w:rsid w:val="00DB2649"/>
    <w:rsid w:val="00DC325A"/>
    <w:rsid w:val="00DD61EE"/>
    <w:rsid w:val="00DE33B4"/>
    <w:rsid w:val="00DF2D88"/>
    <w:rsid w:val="00DF58FB"/>
    <w:rsid w:val="00E012C9"/>
    <w:rsid w:val="00E01C2E"/>
    <w:rsid w:val="00E05E61"/>
    <w:rsid w:val="00E05F39"/>
    <w:rsid w:val="00E21106"/>
    <w:rsid w:val="00E2732B"/>
    <w:rsid w:val="00E30AA0"/>
    <w:rsid w:val="00E31445"/>
    <w:rsid w:val="00E366FD"/>
    <w:rsid w:val="00E40D8F"/>
    <w:rsid w:val="00E440B7"/>
    <w:rsid w:val="00E64A22"/>
    <w:rsid w:val="00E74878"/>
    <w:rsid w:val="00E963B1"/>
    <w:rsid w:val="00EA5599"/>
    <w:rsid w:val="00EB58BB"/>
    <w:rsid w:val="00EC7EFE"/>
    <w:rsid w:val="00ED6E21"/>
    <w:rsid w:val="00EE2A98"/>
    <w:rsid w:val="00EE4022"/>
    <w:rsid w:val="00F1195C"/>
    <w:rsid w:val="00F32A3B"/>
    <w:rsid w:val="00F456F2"/>
    <w:rsid w:val="00F54D99"/>
    <w:rsid w:val="00F5693B"/>
    <w:rsid w:val="00F62B92"/>
    <w:rsid w:val="00F634B3"/>
    <w:rsid w:val="00F64D08"/>
    <w:rsid w:val="00FA48C7"/>
    <w:rsid w:val="00FE0C92"/>
    <w:rsid w:val="00FE248E"/>
    <w:rsid w:val="00FF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B515145"/>
  <w15:docId w15:val="{3E8700DD-1437-4209-8492-93C89C75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1EBD"/>
    <w:rPr>
      <w:lang w:val="fr-FR"/>
    </w:rPr>
  </w:style>
  <w:style w:type="paragraph" w:styleId="Kop1">
    <w:name w:val="heading 1"/>
    <w:basedOn w:val="Standaard"/>
    <w:next w:val="Standaard"/>
    <w:qFormat/>
    <w:rsid w:val="005D1EBD"/>
    <w:pPr>
      <w:widowControl w:val="0"/>
      <w:tabs>
        <w:tab w:val="left" w:pos="-720"/>
      </w:tabs>
      <w:suppressAutoHyphens/>
      <w:outlineLvl w:val="0"/>
    </w:pPr>
    <w:rPr>
      <w:rFonts w:ascii="Arial" w:hAnsi="Arial"/>
      <w:b/>
      <w:snapToGrid w:val="0"/>
      <w:u w:val="single"/>
    </w:rPr>
  </w:style>
  <w:style w:type="paragraph" w:styleId="Kop2">
    <w:name w:val="heading 2"/>
    <w:basedOn w:val="Standaard"/>
    <w:next w:val="Standaard"/>
    <w:qFormat/>
    <w:rsid w:val="005D1EBD"/>
    <w:pPr>
      <w:keepNext/>
      <w:widowControl w:val="0"/>
      <w:suppressAutoHyphens/>
      <w:outlineLvl w:val="1"/>
    </w:pPr>
    <w:rPr>
      <w:rFonts w:ascii="Courier New" w:hAnsi="Courier New"/>
      <w:b/>
      <w:snapToGrid w:val="0"/>
      <w:lang w:val="nl-NL"/>
    </w:rPr>
  </w:style>
  <w:style w:type="paragraph" w:styleId="Kop3">
    <w:name w:val="heading 3"/>
    <w:basedOn w:val="Standaard"/>
    <w:next w:val="Standaard"/>
    <w:qFormat/>
    <w:rsid w:val="005D1EBD"/>
    <w:pPr>
      <w:keepNext/>
      <w:outlineLvl w:val="2"/>
    </w:pPr>
    <w:rPr>
      <w:rFonts w:ascii="Courier New" w:hAnsi="Courier New"/>
      <w:b/>
      <w:sz w:val="24"/>
      <w:u w:val="single"/>
      <w:lang w:val="nl-BE"/>
    </w:rPr>
  </w:style>
  <w:style w:type="paragraph" w:styleId="Kop4">
    <w:name w:val="heading 4"/>
    <w:basedOn w:val="Standaard"/>
    <w:next w:val="Standaard"/>
    <w:qFormat/>
    <w:rsid w:val="005D1EBD"/>
    <w:pPr>
      <w:keepNext/>
      <w:outlineLvl w:val="3"/>
    </w:pPr>
    <w:rPr>
      <w:rFonts w:ascii="Courier New" w:hAnsi="Courier New"/>
      <w:b/>
      <w:sz w:val="24"/>
      <w:lang w:val="nl-BE"/>
    </w:rPr>
  </w:style>
  <w:style w:type="paragraph" w:styleId="Kop5">
    <w:name w:val="heading 5"/>
    <w:basedOn w:val="Standaard"/>
    <w:next w:val="Standaard"/>
    <w:qFormat/>
    <w:rsid w:val="005D1EBD"/>
    <w:pPr>
      <w:keepNext/>
      <w:spacing w:after="120"/>
      <w:outlineLvl w:val="4"/>
    </w:pPr>
    <w:rPr>
      <w:rFonts w:ascii="Arial" w:hAnsi="Arial"/>
      <w:b/>
      <w:sz w:val="22"/>
      <w:u w:val="single"/>
    </w:rPr>
  </w:style>
  <w:style w:type="paragraph" w:styleId="Kop6">
    <w:name w:val="heading 6"/>
    <w:basedOn w:val="Standaard"/>
    <w:next w:val="Standaard"/>
    <w:qFormat/>
    <w:rsid w:val="005D1EBD"/>
    <w:pPr>
      <w:keepNext/>
      <w:outlineLvl w:val="5"/>
    </w:pPr>
    <w:rPr>
      <w:rFonts w:ascii="Arial" w:hAnsi="Arial"/>
      <w:b/>
      <w:sz w:val="22"/>
    </w:rPr>
  </w:style>
  <w:style w:type="paragraph" w:styleId="Kop7">
    <w:name w:val="heading 7"/>
    <w:basedOn w:val="Standaard"/>
    <w:next w:val="Standaard"/>
    <w:qFormat/>
    <w:rsid w:val="005D1EBD"/>
    <w:pPr>
      <w:keepNext/>
      <w:spacing w:after="120"/>
      <w:jc w:val="center"/>
      <w:outlineLvl w:val="6"/>
    </w:pPr>
    <w:rPr>
      <w:rFonts w:ascii="Arial" w:hAnsi="Arial"/>
      <w:b/>
      <w:sz w:val="22"/>
    </w:rPr>
  </w:style>
  <w:style w:type="paragraph" w:styleId="Kop8">
    <w:name w:val="heading 8"/>
    <w:basedOn w:val="Standaard"/>
    <w:next w:val="Standaard"/>
    <w:qFormat/>
    <w:rsid w:val="005D1EBD"/>
    <w:pPr>
      <w:keepNext/>
      <w:jc w:val="center"/>
      <w:outlineLvl w:val="7"/>
    </w:pPr>
    <w:rPr>
      <w:rFonts w:ascii="Arial" w:hAnsi="Arial"/>
      <w:b/>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5D1EBD"/>
    <w:pPr>
      <w:spacing w:after="120"/>
      <w:jc w:val="both"/>
    </w:pPr>
    <w:rPr>
      <w:rFonts w:ascii="Arial" w:hAnsi="Arial"/>
      <w:sz w:val="22"/>
    </w:rPr>
  </w:style>
  <w:style w:type="paragraph" w:styleId="Koptekst">
    <w:name w:val="header"/>
    <w:basedOn w:val="Standaard"/>
    <w:link w:val="KoptekstChar"/>
    <w:rsid w:val="005D1EBD"/>
    <w:pPr>
      <w:tabs>
        <w:tab w:val="center" w:pos="4153"/>
        <w:tab w:val="right" w:pos="8306"/>
      </w:tabs>
    </w:pPr>
  </w:style>
  <w:style w:type="paragraph" w:styleId="Voettekst">
    <w:name w:val="footer"/>
    <w:basedOn w:val="Standaard"/>
    <w:link w:val="VoettekstChar"/>
    <w:uiPriority w:val="99"/>
    <w:rsid w:val="005D1EBD"/>
    <w:pPr>
      <w:tabs>
        <w:tab w:val="center" w:pos="4153"/>
        <w:tab w:val="right" w:pos="8306"/>
      </w:tabs>
    </w:pPr>
  </w:style>
  <w:style w:type="table" w:styleId="Tabelraster">
    <w:name w:val="Table Grid"/>
    <w:basedOn w:val="Standaardtabel"/>
    <w:rsid w:val="0044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117E8"/>
    <w:rPr>
      <w:rFonts w:ascii="Tahoma" w:hAnsi="Tahoma" w:cs="Tahoma"/>
      <w:sz w:val="16"/>
      <w:szCs w:val="16"/>
    </w:rPr>
  </w:style>
  <w:style w:type="character" w:customStyle="1" w:styleId="BallontekstChar">
    <w:name w:val="Ballontekst Char"/>
    <w:basedOn w:val="Standaardalinea-lettertype"/>
    <w:link w:val="Ballontekst"/>
    <w:rsid w:val="008117E8"/>
    <w:rPr>
      <w:rFonts w:ascii="Tahoma" w:hAnsi="Tahoma" w:cs="Tahoma"/>
      <w:sz w:val="16"/>
      <w:szCs w:val="16"/>
      <w:lang w:val="fr-FR"/>
    </w:rPr>
  </w:style>
  <w:style w:type="paragraph" w:styleId="Plattetekst2">
    <w:name w:val="Body Text 2"/>
    <w:basedOn w:val="Standaard"/>
    <w:link w:val="Plattetekst2Char"/>
    <w:rsid w:val="00CD0889"/>
    <w:pPr>
      <w:spacing w:after="120" w:line="480" w:lineRule="auto"/>
    </w:pPr>
  </w:style>
  <w:style w:type="character" w:customStyle="1" w:styleId="Plattetekst2Char">
    <w:name w:val="Platte tekst 2 Char"/>
    <w:basedOn w:val="Standaardalinea-lettertype"/>
    <w:link w:val="Plattetekst2"/>
    <w:rsid w:val="00CD0889"/>
    <w:rPr>
      <w:lang w:val="fr-FR"/>
    </w:rPr>
  </w:style>
  <w:style w:type="paragraph" w:styleId="Plattetekstinspringen">
    <w:name w:val="Body Text Indent"/>
    <w:basedOn w:val="Standaard"/>
    <w:link w:val="PlattetekstinspringenChar"/>
    <w:rsid w:val="00CD0889"/>
    <w:pPr>
      <w:spacing w:after="120"/>
      <w:ind w:left="283"/>
    </w:pPr>
  </w:style>
  <w:style w:type="character" w:customStyle="1" w:styleId="PlattetekstinspringenChar">
    <w:name w:val="Platte tekst inspringen Char"/>
    <w:basedOn w:val="Standaardalinea-lettertype"/>
    <w:link w:val="Plattetekstinspringen"/>
    <w:rsid w:val="00CD0889"/>
    <w:rPr>
      <w:lang w:val="fr-FR"/>
    </w:rPr>
  </w:style>
  <w:style w:type="paragraph" w:styleId="Lijstalinea">
    <w:name w:val="List Paragraph"/>
    <w:basedOn w:val="Standaard"/>
    <w:uiPriority w:val="34"/>
    <w:qFormat/>
    <w:rsid w:val="003B0742"/>
    <w:pPr>
      <w:ind w:left="720"/>
      <w:contextualSpacing/>
    </w:pPr>
  </w:style>
  <w:style w:type="character" w:customStyle="1" w:styleId="PlattetekstChar">
    <w:name w:val="Platte tekst Char"/>
    <w:basedOn w:val="Standaardalinea-lettertype"/>
    <w:link w:val="Plattetekst"/>
    <w:rsid w:val="005669D7"/>
    <w:rPr>
      <w:rFonts w:ascii="Arial" w:hAnsi="Arial"/>
      <w:sz w:val="22"/>
      <w:lang w:val="fr-FR"/>
    </w:rPr>
  </w:style>
  <w:style w:type="character" w:customStyle="1" w:styleId="KoptekstChar">
    <w:name w:val="Koptekst Char"/>
    <w:basedOn w:val="Standaardalinea-lettertype"/>
    <w:link w:val="Koptekst"/>
    <w:rsid w:val="005669D7"/>
    <w:rPr>
      <w:lang w:val="fr-FR"/>
    </w:rPr>
  </w:style>
  <w:style w:type="character" w:customStyle="1" w:styleId="VoettekstChar">
    <w:name w:val="Voettekst Char"/>
    <w:basedOn w:val="Standaardalinea-lettertype"/>
    <w:link w:val="Voettekst"/>
    <w:uiPriority w:val="99"/>
    <w:rsid w:val="00E21106"/>
    <w:rPr>
      <w:lang w:val="fr-FR"/>
    </w:rPr>
  </w:style>
  <w:style w:type="table" w:customStyle="1" w:styleId="Grilledutableau5">
    <w:name w:val="Grille du tableau5"/>
    <w:basedOn w:val="Standaardtabel"/>
    <w:next w:val="Tabelraster"/>
    <w:uiPriority w:val="59"/>
    <w:rsid w:val="00635E9A"/>
    <w:rPr>
      <w:rFonts w:ascii="Calibri" w:eastAsia="Calibri" w:hAnsi="Calibr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4664</Characters>
  <Application>Microsoft Office Word</Application>
  <DocSecurity>4</DocSecurity>
  <Lines>38</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Nationaal Instituut voor ziekte-en invaliditeitsverzekering</vt:lpstr>
      <vt:lpstr>Nationaal Instituut voor ziekte-en invaliditeitsverzekering</vt:lpstr>
      <vt:lpstr>Nationaal Instituut voor ziekte-en invaliditeitsverzekering</vt:lpstr>
    </vt:vector>
  </TitlesOfParts>
  <Company>R.I.Z.I.V. - I.N.A.M.I.</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Nationaal Instituut voor ziekte-en invaliditeitsverzekering</dc:title>
  <dc:creator>MarieJose Beernaert</dc:creator>
  <cp:lastModifiedBy>Mireille Arens</cp:lastModifiedBy>
  <cp:revision>2</cp:revision>
  <cp:lastPrinted>2016-08-02T13:02:00Z</cp:lastPrinted>
  <dcterms:created xsi:type="dcterms:W3CDTF">2020-09-08T10:27:00Z</dcterms:created>
  <dcterms:modified xsi:type="dcterms:W3CDTF">2020-09-08T10:27:00Z</dcterms:modified>
</cp:coreProperties>
</file>